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center"/>
        <w:rPr>
          <w:rFonts w:ascii="仿宋" w:hAnsi="仿宋" w:eastAsia="仿宋" w:cs="仿宋"/>
          <w:color w:val="auto"/>
          <w:sz w:val="84"/>
          <w:szCs w:val="24"/>
          <w:highlight w:val="none"/>
        </w:rPr>
      </w:pPr>
    </w:p>
    <w:p>
      <w:pPr>
        <w:spacing w:before="120" w:after="120" w:line="360" w:lineRule="auto"/>
        <w:jc w:val="center"/>
        <w:rPr>
          <w:rFonts w:ascii="仿宋" w:hAnsi="仿宋" w:eastAsia="仿宋" w:cs="仿宋"/>
          <w:color w:val="auto"/>
          <w:sz w:val="84"/>
          <w:szCs w:val="24"/>
          <w:highlight w:val="none"/>
        </w:rPr>
      </w:pPr>
      <w:r>
        <w:rPr>
          <w:rFonts w:hint="eastAsia" w:ascii="Times New Roman" w:hAnsi="Times New Roman" w:eastAsia="黑体"/>
          <w:color w:val="auto"/>
          <w:sz w:val="84"/>
          <w:szCs w:val="24"/>
          <w:highlight w:val="none"/>
        </w:rPr>
        <w:t>竞争性磋商文件</w:t>
      </w:r>
    </w:p>
    <w:p>
      <w:pPr>
        <w:ind w:firstLine="1506"/>
        <w:rPr>
          <w:rFonts w:ascii="Times New Roman" w:hAnsi="Times New Roman" w:cs="宋体"/>
          <w:color w:val="auto"/>
          <w:sz w:val="30"/>
          <w:szCs w:val="30"/>
          <w:highlight w:val="none"/>
        </w:rPr>
      </w:pPr>
    </w:p>
    <w:p>
      <w:pPr>
        <w:ind w:firstLine="1506"/>
        <w:rPr>
          <w:rFonts w:ascii="Times New Roman" w:hAnsi="Times New Roman" w:cs="宋体"/>
          <w:color w:val="auto"/>
          <w:sz w:val="30"/>
          <w:szCs w:val="30"/>
          <w:highlight w:val="none"/>
        </w:rPr>
      </w:pP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项目名称：</w:t>
      </w:r>
      <w:r>
        <w:rPr>
          <w:rFonts w:hint="eastAsia" w:ascii="Times New Roman" w:hAnsi="Times New Roman" w:cs="宋体"/>
          <w:color w:val="auto"/>
          <w:sz w:val="30"/>
          <w:szCs w:val="30"/>
          <w:highlight w:val="none"/>
          <w:lang w:eastAsia="zh-CN"/>
        </w:rPr>
        <w:t>2026年-2027年宿豫区教育局物业服务采购项目</w:t>
      </w:r>
    </w:p>
    <w:p>
      <w:pPr>
        <w:ind w:firstLine="1506"/>
        <w:rPr>
          <w:rFonts w:ascii="Times New Roman" w:hAnsi="Times New Roman" w:cs="宋体"/>
          <w:color w:val="auto"/>
          <w:sz w:val="30"/>
          <w:szCs w:val="30"/>
          <w:highlight w:val="none"/>
        </w:rPr>
      </w:pP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项目编号：</w:t>
      </w:r>
      <w:r>
        <w:rPr>
          <w:rFonts w:hint="eastAsia" w:ascii="Times New Roman" w:hAnsi="Times New Roman" w:cs="宋体"/>
          <w:color w:val="auto"/>
          <w:sz w:val="30"/>
          <w:szCs w:val="30"/>
          <w:highlight w:val="none"/>
          <w:lang w:eastAsia="zh-CN"/>
        </w:rPr>
        <w:t>JSZC-321311-JZCG-C2026-0004</w:t>
      </w:r>
    </w:p>
    <w:p>
      <w:pPr>
        <w:ind w:firstLine="602"/>
        <w:rPr>
          <w:rFonts w:ascii="Times New Roman" w:hAnsi="Times New Roman" w:cs="宋体"/>
          <w:color w:val="auto"/>
          <w:sz w:val="30"/>
          <w:szCs w:val="30"/>
          <w:highlight w:val="none"/>
        </w:rPr>
      </w:pPr>
    </w:p>
    <w:p>
      <w:pPr>
        <w:ind w:firstLine="602"/>
        <w:jc w:val="center"/>
        <w:rPr>
          <w:rFonts w:ascii="Times New Roman" w:hAnsi="Times New Roman" w:cs="宋体"/>
          <w:color w:val="auto"/>
          <w:sz w:val="30"/>
          <w:szCs w:val="30"/>
          <w:highlight w:val="none"/>
        </w:rPr>
      </w:pPr>
      <w:r>
        <w:rPr>
          <w:rFonts w:hint="eastAsia" w:ascii="Times New Roman" w:hAnsi="Times New Roman" w:cs="宋体"/>
          <w:color w:val="auto"/>
          <w:sz w:val="30"/>
          <w:szCs w:val="30"/>
          <w:highlight w:val="none"/>
        </w:rPr>
        <w:t>（服务类项目，专门面向中小企业）</w:t>
      </w:r>
    </w:p>
    <w:p>
      <w:pPr>
        <w:ind w:left="2800" w:hanging="2800"/>
        <w:rPr>
          <w:rFonts w:ascii="Times New Roman" w:hAnsi="Times New Roman"/>
          <w:color w:val="auto"/>
          <w:sz w:val="28"/>
          <w:szCs w:val="28"/>
          <w:highlight w:val="none"/>
        </w:rPr>
      </w:pPr>
    </w:p>
    <w:p>
      <w:pPr>
        <w:ind w:left="2800" w:hanging="2800"/>
        <w:rPr>
          <w:color w:val="auto"/>
          <w:sz w:val="28"/>
          <w:szCs w:val="28"/>
          <w:highlight w:val="none"/>
        </w:rPr>
      </w:pPr>
    </w:p>
    <w:p>
      <w:pPr>
        <w:spacing w:line="360" w:lineRule="auto"/>
        <w:jc w:val="left"/>
        <w:rPr>
          <w:rFonts w:ascii="宋体" w:hAnsi="宋体" w:cs="宋体"/>
          <w:color w:val="auto"/>
          <w:sz w:val="24"/>
          <w:szCs w:val="24"/>
          <w:highlight w:val="none"/>
        </w:rPr>
      </w:pPr>
    </w:p>
    <w:p>
      <w:pPr>
        <w:spacing w:line="360" w:lineRule="auto"/>
        <w:jc w:val="left"/>
        <w:rPr>
          <w:rFonts w:ascii="宋体" w:hAnsi="宋体" w:cs="宋体"/>
          <w:color w:val="auto"/>
          <w:sz w:val="24"/>
          <w:szCs w:val="24"/>
          <w:highlight w:val="none"/>
        </w:rPr>
      </w:pPr>
    </w:p>
    <w:p>
      <w:pPr>
        <w:spacing w:line="360" w:lineRule="auto"/>
        <w:jc w:val="left"/>
        <w:rPr>
          <w:rFonts w:ascii="宋体" w:hAnsi="宋体" w:cs="宋体"/>
          <w:color w:val="auto"/>
          <w:sz w:val="24"/>
          <w:szCs w:val="24"/>
          <w:highlight w:val="none"/>
        </w:rPr>
      </w:pPr>
    </w:p>
    <w:tbl>
      <w:tblPr>
        <w:tblStyle w:val="37"/>
        <w:tblW w:w="7963" w:type="dxa"/>
        <w:jc w:val="center"/>
        <w:tblLayout w:type="fixed"/>
        <w:tblCellMar>
          <w:top w:w="0" w:type="dxa"/>
          <w:left w:w="108" w:type="dxa"/>
          <w:bottom w:w="0" w:type="dxa"/>
          <w:right w:w="108" w:type="dxa"/>
        </w:tblCellMar>
      </w:tblPr>
      <w:tblGrid>
        <w:gridCol w:w="2923"/>
        <w:gridCol w:w="5040"/>
      </w:tblGrid>
      <w:tr>
        <w:trPr>
          <w:trHeight w:val="586" w:hRule="atLeast"/>
          <w:jc w:val="center"/>
        </w:trPr>
        <w:tc>
          <w:tcPr>
            <w:tcW w:w="2923" w:type="dxa"/>
            <w:vAlign w:val="center"/>
          </w:tcPr>
          <w:p>
            <w:pPr>
              <w:spacing w:line="500" w:lineRule="exact"/>
              <w:jc w:val="center"/>
              <w:rPr>
                <w:rFonts w:ascii="仿宋" w:hAnsi="仿宋" w:eastAsia="仿宋" w:cs="仿宋"/>
                <w:color w:val="auto"/>
                <w:sz w:val="24"/>
                <w:szCs w:val="24"/>
                <w:highlight w:val="none"/>
              </w:rPr>
            </w:pPr>
            <w:r>
              <w:rPr>
                <w:rFonts w:hint="eastAsia" w:ascii="Times New Roman" w:hAnsi="Times New Roman"/>
                <w:color w:val="auto"/>
                <w:spacing w:val="45"/>
                <w:sz w:val="32"/>
                <w:szCs w:val="24"/>
                <w:highlight w:val="none"/>
              </w:rPr>
              <w:t>采  购 人</w:t>
            </w:r>
            <w:r>
              <w:rPr>
                <w:rFonts w:hint="eastAsia" w:ascii="Times New Roman" w:hAnsi="Times New Roman"/>
                <w:color w:val="auto"/>
                <w:spacing w:val="1"/>
                <w:sz w:val="32"/>
                <w:szCs w:val="24"/>
                <w:highlight w:val="none"/>
              </w:rPr>
              <w:t>：</w:t>
            </w:r>
          </w:p>
        </w:tc>
        <w:tc>
          <w:tcPr>
            <w:tcW w:w="5040" w:type="dxa"/>
            <w:vAlign w:val="center"/>
          </w:tcPr>
          <w:p>
            <w:pPr>
              <w:spacing w:line="500" w:lineRule="exact"/>
              <w:jc w:val="left"/>
              <w:rPr>
                <w:rFonts w:ascii="仿宋" w:hAnsi="仿宋" w:cs="仿宋"/>
                <w:color w:val="auto"/>
                <w:sz w:val="24"/>
                <w:szCs w:val="24"/>
                <w:highlight w:val="none"/>
              </w:rPr>
            </w:pPr>
            <w:r>
              <w:rPr>
                <w:rFonts w:hint="eastAsia" w:ascii="Times New Roman" w:hAnsi="Times New Roman"/>
                <w:color w:val="auto"/>
                <w:sz w:val="32"/>
                <w:szCs w:val="24"/>
                <w:highlight w:val="none"/>
                <w:lang w:eastAsia="zh-CN"/>
              </w:rPr>
              <w:t>宿迁市宿豫区教育考试服务中心</w:t>
            </w:r>
          </w:p>
        </w:tc>
      </w:tr>
      <w:tr>
        <w:tblPrEx>
          <w:tblCellMar>
            <w:top w:w="0" w:type="dxa"/>
            <w:left w:w="108" w:type="dxa"/>
            <w:bottom w:w="0" w:type="dxa"/>
            <w:right w:w="108" w:type="dxa"/>
          </w:tblCellMar>
        </w:tblPrEx>
        <w:trPr>
          <w:trHeight w:val="617" w:hRule="atLeast"/>
          <w:jc w:val="center"/>
        </w:trPr>
        <w:tc>
          <w:tcPr>
            <w:tcW w:w="2923" w:type="dxa"/>
            <w:vAlign w:val="center"/>
          </w:tcPr>
          <w:p>
            <w:pPr>
              <w:spacing w:line="500" w:lineRule="exact"/>
              <w:jc w:val="center"/>
              <w:rPr>
                <w:rFonts w:ascii="Times New Roman" w:hAnsi="Times New Roman"/>
                <w:color w:val="auto"/>
                <w:spacing w:val="45"/>
                <w:sz w:val="32"/>
                <w:szCs w:val="24"/>
                <w:highlight w:val="none"/>
              </w:rPr>
            </w:pPr>
            <w:r>
              <w:rPr>
                <w:rFonts w:hint="eastAsia" w:ascii="Times New Roman" w:hAnsi="Times New Roman"/>
                <w:color w:val="auto"/>
                <w:sz w:val="32"/>
                <w:szCs w:val="24"/>
                <w:highlight w:val="none"/>
              </w:rPr>
              <w:t>采购代理机构：</w:t>
            </w:r>
          </w:p>
        </w:tc>
        <w:tc>
          <w:tcPr>
            <w:tcW w:w="5040" w:type="dxa"/>
            <w:vAlign w:val="center"/>
          </w:tcPr>
          <w:p>
            <w:pPr>
              <w:spacing w:line="500" w:lineRule="exact"/>
              <w:jc w:val="left"/>
              <w:rPr>
                <w:rFonts w:ascii="仿宋" w:hAnsi="仿宋" w:cs="仿宋"/>
                <w:color w:val="auto"/>
                <w:sz w:val="24"/>
                <w:szCs w:val="24"/>
                <w:highlight w:val="none"/>
              </w:rPr>
            </w:pPr>
            <w:r>
              <w:rPr>
                <w:rFonts w:hint="eastAsia" w:ascii="Times New Roman" w:hAnsi="Times New Roman"/>
                <w:color w:val="auto"/>
                <w:sz w:val="32"/>
                <w:szCs w:val="24"/>
                <w:highlight w:val="none"/>
              </w:rPr>
              <w:t>宿迁市宿豫区公共资源交易中心</w:t>
            </w:r>
          </w:p>
        </w:tc>
      </w:tr>
    </w:tbl>
    <w:p>
      <w:pPr>
        <w:spacing w:line="360" w:lineRule="auto"/>
        <w:jc w:val="left"/>
        <w:rPr>
          <w:rFonts w:ascii="宋体" w:hAnsi="宋体" w:cs="宋体"/>
          <w:color w:val="auto"/>
          <w:sz w:val="24"/>
          <w:szCs w:val="24"/>
          <w:highlight w:val="none"/>
        </w:rPr>
      </w:pPr>
    </w:p>
    <w:p>
      <w:pPr>
        <w:spacing w:before="120" w:after="120" w:line="360" w:lineRule="auto"/>
        <w:jc w:val="center"/>
        <w:rPr>
          <w:rFonts w:ascii="Arial" w:hAnsi="Arial"/>
          <w:color w:val="auto"/>
          <w:sz w:val="32"/>
          <w:szCs w:val="24"/>
          <w:highlight w:val="none"/>
        </w:rPr>
      </w:pPr>
    </w:p>
    <w:p>
      <w:pPr>
        <w:spacing w:before="120" w:after="120" w:line="360" w:lineRule="auto"/>
        <w:jc w:val="center"/>
        <w:rPr>
          <w:rFonts w:ascii="Arial" w:hAnsi="Arial"/>
          <w:color w:val="auto"/>
          <w:sz w:val="32"/>
          <w:szCs w:val="24"/>
          <w:highlight w:val="none"/>
        </w:rPr>
      </w:pPr>
    </w:p>
    <w:p>
      <w:pPr>
        <w:spacing w:before="120" w:after="120" w:line="360" w:lineRule="auto"/>
        <w:jc w:val="center"/>
        <w:rPr>
          <w:rFonts w:ascii="Arial" w:hAnsi="Arial"/>
          <w:color w:val="auto"/>
          <w:sz w:val="32"/>
          <w:szCs w:val="24"/>
          <w:highlight w:val="none"/>
        </w:rPr>
      </w:pPr>
      <w:r>
        <w:rPr>
          <w:rFonts w:ascii="Arial" w:hAnsi="Arial"/>
          <w:color w:val="auto"/>
          <w:sz w:val="32"/>
          <w:szCs w:val="24"/>
          <w:highlight w:val="none"/>
        </w:rPr>
        <w:t>202</w:t>
      </w:r>
      <w:r>
        <w:rPr>
          <w:rFonts w:hint="eastAsia" w:ascii="Arial" w:hAnsi="Arial"/>
          <w:color w:val="auto"/>
          <w:sz w:val="32"/>
          <w:szCs w:val="24"/>
          <w:highlight w:val="none"/>
          <w:lang w:val="en-US" w:eastAsia="zh-CN"/>
        </w:rPr>
        <w:t>6</w:t>
      </w:r>
      <w:r>
        <w:rPr>
          <w:rFonts w:hint="eastAsia" w:ascii="Arial" w:hAnsi="Arial" w:cs="宋体"/>
          <w:color w:val="auto"/>
          <w:sz w:val="32"/>
          <w:szCs w:val="24"/>
          <w:highlight w:val="none"/>
        </w:rPr>
        <w:t>年</w:t>
      </w:r>
      <w:r>
        <w:rPr>
          <w:rFonts w:hint="eastAsia" w:ascii="Arial" w:hAnsi="Arial" w:cs="宋体"/>
          <w:color w:val="auto"/>
          <w:sz w:val="32"/>
          <w:szCs w:val="24"/>
          <w:highlight w:val="none"/>
          <w:lang w:val="en-US" w:eastAsia="zh-CN"/>
        </w:rPr>
        <w:t>05</w:t>
      </w:r>
      <w:r>
        <w:rPr>
          <w:rFonts w:hint="eastAsia" w:ascii="Arial" w:hAnsi="Arial" w:cs="宋体"/>
          <w:color w:val="auto"/>
          <w:sz w:val="32"/>
          <w:szCs w:val="24"/>
          <w:highlight w:val="none"/>
        </w:rPr>
        <w:t>月</w:t>
      </w:r>
      <w:r>
        <w:rPr>
          <w:rFonts w:hint="eastAsia" w:ascii="Arial" w:hAnsi="Arial" w:cs="宋体"/>
          <w:color w:val="auto"/>
          <w:sz w:val="32"/>
          <w:szCs w:val="24"/>
          <w:highlight w:val="none"/>
          <w:lang w:val="en-US" w:eastAsia="zh-CN"/>
        </w:rPr>
        <w:t>12</w:t>
      </w:r>
      <w:r>
        <w:rPr>
          <w:rFonts w:hint="eastAsia" w:ascii="Arial" w:hAnsi="Arial" w:cs="宋体"/>
          <w:color w:val="auto"/>
          <w:sz w:val="32"/>
          <w:szCs w:val="24"/>
          <w:highlight w:val="none"/>
        </w:rPr>
        <w:t>日</w:t>
      </w:r>
    </w:p>
    <w:p>
      <w:pPr>
        <w:jc w:val="center"/>
        <w:rPr>
          <w:rFonts w:ascii="Times New Roman" w:hAnsi="Times New Roman" w:eastAsia="黑体"/>
          <w:color w:val="auto"/>
          <w:sz w:val="36"/>
          <w:highlight w:val="none"/>
        </w:rPr>
      </w:pPr>
    </w:p>
    <w:p>
      <w:pPr>
        <w:rPr>
          <w:rFonts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p>
    <w:p>
      <w:pPr>
        <w:jc w:val="center"/>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目    录</w:t>
      </w:r>
    </w:p>
    <w:p>
      <w:pPr>
        <w:pStyle w:val="2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rPr>
      </w:pPr>
      <w:r>
        <w:rPr>
          <w:rFonts w:hint="eastAsia" w:ascii="宋体" w:hAnsi="宋体" w:eastAsia="宋体" w:cs="宋体"/>
          <w:b w:val="0"/>
          <w:bCs w:val="0"/>
          <w:caps w:val="0"/>
          <w:color w:val="auto"/>
          <w:sz w:val="32"/>
          <w:szCs w:val="32"/>
          <w:highlight w:val="none"/>
        </w:rPr>
        <w:fldChar w:fldCharType="begin"/>
      </w:r>
      <w:r>
        <w:rPr>
          <w:rFonts w:hint="eastAsia" w:ascii="宋体" w:hAnsi="宋体" w:eastAsia="宋体" w:cs="宋体"/>
          <w:b w:val="0"/>
          <w:bCs w:val="0"/>
          <w:caps w:val="0"/>
          <w:color w:val="auto"/>
          <w:sz w:val="32"/>
          <w:szCs w:val="32"/>
          <w:highlight w:val="none"/>
        </w:rPr>
        <w:instrText xml:space="preserve">TOC \o "1-1" \h \u </w:instrText>
      </w:r>
      <w:r>
        <w:rPr>
          <w:rFonts w:hint="eastAsia" w:ascii="宋体" w:hAnsi="宋体" w:eastAsia="宋体" w:cs="宋体"/>
          <w:b w:val="0"/>
          <w:bCs w:val="0"/>
          <w:caps w:val="0"/>
          <w:color w:val="auto"/>
          <w:sz w:val="32"/>
          <w:szCs w:val="32"/>
          <w:highlight w:val="none"/>
        </w:rPr>
        <w:fldChar w:fldCharType="separate"/>
      </w:r>
      <w:r>
        <w:rPr>
          <w:rFonts w:hint="eastAsia" w:ascii="宋体" w:hAnsi="宋体" w:eastAsia="宋体" w:cs="宋体"/>
          <w:bCs w:val="0"/>
          <w:caps w:val="0"/>
          <w:color w:val="auto"/>
          <w:sz w:val="32"/>
          <w:szCs w:val="32"/>
          <w:highlight w:val="none"/>
        </w:rPr>
        <w:fldChar w:fldCharType="begin"/>
      </w:r>
      <w:r>
        <w:rPr>
          <w:rFonts w:hint="eastAsia" w:ascii="宋体" w:hAnsi="宋体" w:eastAsia="宋体" w:cs="宋体"/>
          <w:bCs w:val="0"/>
          <w:caps w:val="0"/>
          <w:color w:val="auto"/>
          <w:sz w:val="32"/>
          <w:szCs w:val="32"/>
          <w:highlight w:val="none"/>
        </w:rPr>
        <w:instrText xml:space="preserve"> HYPERLINK \l _Toc25475 </w:instrText>
      </w:r>
      <w:r>
        <w:rPr>
          <w:rFonts w:hint="eastAsia" w:ascii="宋体" w:hAnsi="宋体" w:eastAsia="宋体" w:cs="宋体"/>
          <w:bCs w:val="0"/>
          <w:caps w:val="0"/>
          <w:color w:val="auto"/>
          <w:sz w:val="32"/>
          <w:szCs w:val="32"/>
          <w:highlight w:val="none"/>
        </w:rPr>
        <w:fldChar w:fldCharType="separate"/>
      </w:r>
      <w:r>
        <w:rPr>
          <w:rFonts w:hint="eastAsia" w:ascii="宋体" w:hAnsi="宋体" w:eastAsia="宋体" w:cs="宋体"/>
          <w:color w:val="auto"/>
          <w:sz w:val="32"/>
          <w:szCs w:val="32"/>
          <w:highlight w:val="none"/>
        </w:rPr>
        <w:t>第一章  磋商邀请</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_Toc25475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3</w:t>
      </w:r>
      <w:r>
        <w:rPr>
          <w:rFonts w:hint="eastAsia" w:ascii="宋体" w:hAnsi="宋体" w:eastAsia="宋体" w:cs="宋体"/>
          <w:color w:val="auto"/>
          <w:sz w:val="32"/>
          <w:szCs w:val="32"/>
        </w:rPr>
        <w:fldChar w:fldCharType="end"/>
      </w:r>
      <w:r>
        <w:rPr>
          <w:rFonts w:hint="eastAsia" w:ascii="宋体" w:hAnsi="宋体" w:eastAsia="宋体" w:cs="宋体"/>
          <w:bCs w:val="0"/>
          <w:caps w:val="0"/>
          <w:color w:val="auto"/>
          <w:sz w:val="32"/>
          <w:szCs w:val="32"/>
          <w:highlight w:val="none"/>
        </w:rPr>
        <w:fldChar w:fldCharType="end"/>
      </w:r>
    </w:p>
    <w:p>
      <w:pPr>
        <w:pStyle w:val="2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_Toc3146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第二章  供应商须知</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_Toc3146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6</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p>
    <w:p>
      <w:pPr>
        <w:pStyle w:val="2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_Toc5506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第三章  评审方法与评审标准</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_Toc5506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p>
    <w:p>
      <w:pPr>
        <w:pStyle w:val="2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_Toc6687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第四章  采购需求</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_Toc6687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25</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p>
    <w:p>
      <w:pPr>
        <w:pStyle w:val="2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_Toc27302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第六章  响应文件格式</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_Toc27302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51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rPr>
          <w:rFonts w:ascii="Times New Roman" w:hAnsi="Times New Roman" w:eastAsia="黑体"/>
          <w:color w:val="auto"/>
          <w:sz w:val="32"/>
          <w:highlight w:val="none"/>
        </w:rPr>
      </w:pPr>
      <w:r>
        <w:rPr>
          <w:rFonts w:hint="eastAsia" w:ascii="Times New Roman" w:hAnsi="Times New Roman" w:eastAsia="黑体"/>
          <w:color w:val="auto"/>
          <w:sz w:val="32"/>
          <w:highlight w:val="none"/>
        </w:rPr>
        <w:br w:type="page" w:clear="all"/>
      </w:r>
    </w:p>
    <w:p>
      <w:pPr>
        <w:pStyle w:val="86"/>
        <w:jc w:val="center"/>
        <w:rPr>
          <w:rFonts w:ascii="黑体" w:hAnsi="黑体" w:eastAsia="黑体" w:cs="黑体"/>
          <w:color w:val="auto"/>
          <w:sz w:val="44"/>
          <w:szCs w:val="44"/>
          <w:highlight w:val="none"/>
        </w:rPr>
      </w:pPr>
      <w:bookmarkStart w:id="0" w:name="_Toc27259"/>
      <w:bookmarkStart w:id="1" w:name="_Toc25475"/>
      <w:bookmarkStart w:id="2" w:name="_Toc13414"/>
      <w:bookmarkStart w:id="3" w:name="_Toc141869960"/>
      <w:r>
        <w:rPr>
          <w:rFonts w:hint="eastAsia" w:ascii="黑体" w:hAnsi="黑体" w:eastAsia="黑体" w:cs="黑体"/>
          <w:color w:val="auto"/>
          <w:sz w:val="44"/>
          <w:szCs w:val="44"/>
          <w:highlight w:val="none"/>
        </w:rPr>
        <w:t>第一章  磋商邀请</w:t>
      </w:r>
      <w:bookmarkEnd w:id="0"/>
      <w:bookmarkEnd w:id="1"/>
      <w:bookmarkEnd w:id="2"/>
    </w:p>
    <w:p>
      <w:pPr>
        <w:spacing w:line="520" w:lineRule="exact"/>
        <w:ind w:firstLine="480"/>
        <w:rPr>
          <w:rFonts w:ascii="Times New Roman" w:hAnsi="Times New Roman" w:cs="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宿迁市宿豫区教育考试服务中心</w:t>
      </w:r>
      <w:r>
        <w:rPr>
          <w:rFonts w:hint="eastAsia" w:ascii="宋体" w:hAnsi="宋体"/>
          <w:color w:val="auto"/>
          <w:sz w:val="24"/>
          <w:szCs w:val="24"/>
          <w:highlight w:val="none"/>
        </w:rPr>
        <w:t>的委托，</w:t>
      </w:r>
      <w:r>
        <w:rPr>
          <w:rFonts w:hint="eastAsia" w:ascii="宋体" w:hAnsi="宋体"/>
          <w:color w:val="auto"/>
          <w:sz w:val="24"/>
          <w:szCs w:val="24"/>
          <w:highlight w:val="none"/>
          <w:u w:val="single"/>
        </w:rPr>
        <w:t>宿迁市宿豫区公共资源交易中心</w:t>
      </w:r>
      <w:r>
        <w:rPr>
          <w:rFonts w:hint="eastAsia" w:ascii="Times New Roman" w:hAnsi="Times New Roman" w:cs="方正仿宋_GBK"/>
          <w:color w:val="auto"/>
          <w:sz w:val="24"/>
          <w:szCs w:val="24"/>
          <w:highlight w:val="none"/>
        </w:rPr>
        <w:t>就</w:t>
      </w:r>
      <w:r>
        <w:rPr>
          <w:rFonts w:hint="eastAsia" w:ascii="宋体" w:hAnsi="宋体"/>
          <w:color w:val="auto"/>
          <w:sz w:val="24"/>
          <w:szCs w:val="24"/>
          <w:highlight w:val="none"/>
          <w:u w:val="single"/>
          <w:lang w:eastAsia="zh-CN"/>
        </w:rPr>
        <w:t>2026年-2027年宿豫区教育局物业服务采购项目</w:t>
      </w:r>
      <w:r>
        <w:rPr>
          <w:rFonts w:hint="eastAsia" w:ascii="宋体" w:hAnsi="宋体"/>
          <w:color w:val="auto"/>
          <w:sz w:val="24"/>
          <w:szCs w:val="24"/>
          <w:highlight w:val="none"/>
        </w:rPr>
        <w:t>(</w:t>
      </w:r>
      <w:r>
        <w:rPr>
          <w:rFonts w:hint="eastAsia" w:ascii="宋体" w:hAnsi="宋体"/>
          <w:color w:val="auto"/>
          <w:sz w:val="24"/>
          <w:szCs w:val="24"/>
          <w:highlight w:val="none"/>
          <w:u w:val="single"/>
          <w:lang w:eastAsia="zh-CN"/>
        </w:rPr>
        <w:t>JSZC-321311-JZCG-C2026-0004</w:t>
      </w:r>
      <w:r>
        <w:rPr>
          <w:rFonts w:hint="eastAsia" w:ascii="宋体" w:hAnsi="宋体"/>
          <w:color w:val="auto"/>
          <w:sz w:val="24"/>
          <w:szCs w:val="24"/>
          <w:highlight w:val="none"/>
        </w:rPr>
        <w:t>)</w:t>
      </w:r>
      <w:r>
        <w:rPr>
          <w:rFonts w:hint="eastAsia" w:ascii="Times New Roman" w:hAnsi="Times New Roman" w:cs="宋体"/>
          <w:color w:val="auto"/>
          <w:sz w:val="24"/>
          <w:szCs w:val="24"/>
          <w:highlight w:val="none"/>
        </w:rPr>
        <w:t>进行竞争性磋商采购，欢迎符合条件的供应商参加磋商。</w:t>
      </w:r>
    </w:p>
    <w:p>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项目概况</w:t>
      </w:r>
    </w:p>
    <w:p>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宋体" w:hAnsi="宋体"/>
          <w:color w:val="auto"/>
          <w:sz w:val="24"/>
          <w:szCs w:val="24"/>
          <w:highlight w:val="none"/>
          <w:u w:val="single"/>
          <w:lang w:eastAsia="zh-CN"/>
        </w:rPr>
        <w:t>2026年-2027年宿豫区教育局物业服务采购项目</w:t>
      </w:r>
      <w:r>
        <w:rPr>
          <w:rFonts w:hint="eastAsia" w:ascii="Times New Roman" w:hAnsi="Times New Roman" w:cs="仿宋"/>
          <w:color w:val="auto"/>
          <w:sz w:val="24"/>
          <w:szCs w:val="24"/>
          <w:highlight w:val="none"/>
        </w:rPr>
        <w:t>的潜在供应商可在</w:t>
      </w:r>
      <w:r>
        <w:rPr>
          <w:rFonts w:hint="eastAsia" w:ascii="Times New Roman" w:hAnsi="Times New Roman" w:cs="方正仿宋_GBK"/>
          <w:color w:val="auto"/>
          <w:sz w:val="24"/>
          <w:szCs w:val="24"/>
          <w:highlight w:val="none"/>
          <w:u w:val="single"/>
        </w:rPr>
        <w:t>“江苏政府采购网”、“宿迁市政府采购网”</w:t>
      </w:r>
      <w:r>
        <w:rPr>
          <w:rFonts w:hint="eastAsia" w:ascii="Times New Roman" w:hAnsi="Times New Roman" w:cs="仿宋"/>
          <w:color w:val="auto"/>
          <w:sz w:val="24"/>
          <w:szCs w:val="24"/>
          <w:highlight w:val="none"/>
        </w:rPr>
        <w:t>自行免费获取磋商文件，并于</w:t>
      </w:r>
      <w:r>
        <w:rPr>
          <w:rFonts w:hint="eastAsia" w:ascii="Times New Roman" w:hAnsi="Times New Roman" w:cs="仿宋"/>
          <w:color w:val="auto"/>
          <w:sz w:val="24"/>
          <w:szCs w:val="24"/>
          <w:highlight w:val="none"/>
          <w:u w:val="single"/>
        </w:rPr>
        <w:t>202</w:t>
      </w:r>
      <w:r>
        <w:rPr>
          <w:rFonts w:hint="eastAsia" w:ascii="Times New Roman" w:hAnsi="Times New Roman" w:cs="仿宋"/>
          <w:color w:val="auto"/>
          <w:sz w:val="24"/>
          <w:szCs w:val="24"/>
          <w:highlight w:val="none"/>
          <w:u w:val="single"/>
          <w:lang w:val="en-US" w:eastAsia="zh-CN"/>
        </w:rPr>
        <w:t>6</w:t>
      </w:r>
      <w:r>
        <w:rPr>
          <w:rFonts w:hint="eastAsia" w:ascii="Times New Roman" w:hAnsi="Times New Roman" w:cs="仿宋"/>
          <w:color w:val="auto"/>
          <w:sz w:val="24"/>
          <w:szCs w:val="24"/>
          <w:highlight w:val="none"/>
          <w:u w:val="single"/>
        </w:rPr>
        <w:t>年</w:t>
      </w:r>
      <w:r>
        <w:rPr>
          <w:rFonts w:hint="eastAsia" w:ascii="Times New Roman" w:hAnsi="Times New Roman" w:cs="仿宋"/>
          <w:color w:val="auto"/>
          <w:sz w:val="24"/>
          <w:szCs w:val="24"/>
          <w:highlight w:val="none"/>
          <w:u w:val="single"/>
          <w:lang w:val="en-US" w:eastAsia="zh-CN"/>
        </w:rPr>
        <w:t>5</w:t>
      </w:r>
      <w:r>
        <w:rPr>
          <w:rFonts w:hint="eastAsia" w:ascii="Times New Roman" w:hAnsi="Times New Roman" w:cs="仿宋"/>
          <w:color w:val="auto"/>
          <w:sz w:val="24"/>
          <w:szCs w:val="24"/>
          <w:highlight w:val="none"/>
          <w:u w:val="single"/>
        </w:rPr>
        <w:t>月</w:t>
      </w:r>
      <w:r>
        <w:rPr>
          <w:rFonts w:hint="eastAsia" w:ascii="Times New Roman" w:hAnsi="Times New Roman" w:cs="仿宋"/>
          <w:color w:val="auto"/>
          <w:sz w:val="24"/>
          <w:szCs w:val="24"/>
          <w:highlight w:val="none"/>
          <w:u w:val="single"/>
          <w:lang w:val="en-US" w:eastAsia="zh-CN"/>
        </w:rPr>
        <w:t>26</w:t>
      </w:r>
      <w:r>
        <w:rPr>
          <w:rFonts w:hint="eastAsia" w:ascii="Times New Roman" w:hAnsi="Times New Roman" w:cs="仿宋"/>
          <w:color w:val="auto"/>
          <w:sz w:val="24"/>
          <w:szCs w:val="24"/>
          <w:highlight w:val="none"/>
          <w:u w:val="single"/>
        </w:rPr>
        <w:t>日09点30分（</w:t>
      </w:r>
      <w:r>
        <w:rPr>
          <w:rFonts w:hint="eastAsia" w:ascii="Times New Roman" w:hAnsi="Times New Roman" w:cs="仿宋"/>
          <w:color w:val="auto"/>
          <w:sz w:val="24"/>
          <w:szCs w:val="24"/>
          <w:highlight w:val="none"/>
        </w:rPr>
        <w:t>北京时间）前递交响应文件。</w:t>
      </w:r>
    </w:p>
    <w:p>
      <w:pPr>
        <w:pStyle w:val="87"/>
        <w:spacing w:before="0" w:after="0" w:line="520" w:lineRule="exact"/>
        <w:ind w:firstLine="643"/>
        <w:rPr>
          <w:rFonts w:eastAsia="宋体"/>
          <w:color w:val="auto"/>
          <w:sz w:val="32"/>
          <w:highlight w:val="none"/>
        </w:rPr>
      </w:pPr>
      <w:bookmarkStart w:id="4" w:name="_Toc35393790"/>
      <w:bookmarkStart w:id="5" w:name="_Toc28359002"/>
      <w:bookmarkStart w:id="6" w:name="_Hlk24379207"/>
      <w:bookmarkStart w:id="7" w:name="_Toc35393621"/>
      <w:bookmarkStart w:id="8" w:name="_Toc28359079"/>
      <w:bookmarkStart w:id="9" w:name="_Toc38985263"/>
      <w:r>
        <w:rPr>
          <w:rFonts w:hint="eastAsia" w:eastAsia="宋体"/>
          <w:color w:val="auto"/>
          <w:sz w:val="32"/>
          <w:highlight w:val="none"/>
        </w:rPr>
        <w:t>一、项目基本情况</w:t>
      </w:r>
      <w:bookmarkEnd w:id="4"/>
      <w:bookmarkEnd w:id="5"/>
      <w:bookmarkEnd w:id="6"/>
      <w:bookmarkEnd w:id="7"/>
      <w:bookmarkEnd w:id="8"/>
      <w:bookmarkEnd w:id="9"/>
    </w:p>
    <w:p>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1.项目编号：</w:t>
      </w:r>
      <w:r>
        <w:rPr>
          <w:rFonts w:hint="eastAsia" w:ascii="Times New Roman" w:hAnsi="Times New Roman" w:cs="仿宋"/>
          <w:color w:val="auto"/>
          <w:sz w:val="24"/>
          <w:szCs w:val="24"/>
          <w:highlight w:val="none"/>
          <w:lang w:eastAsia="zh-CN"/>
        </w:rPr>
        <w:t>JSZC-321311-JZCG-C2026-0004</w:t>
      </w:r>
    </w:p>
    <w:p>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2.项目名称：</w:t>
      </w:r>
      <w:r>
        <w:rPr>
          <w:rFonts w:hint="eastAsia" w:ascii="Times New Roman" w:hAnsi="Times New Roman" w:cs="仿宋"/>
          <w:color w:val="auto"/>
          <w:sz w:val="24"/>
          <w:szCs w:val="24"/>
          <w:highlight w:val="none"/>
          <w:lang w:eastAsia="zh-CN"/>
        </w:rPr>
        <w:t>2026年-2027年宿豫区教育局物业服务采购项目</w:t>
      </w:r>
    </w:p>
    <w:p>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3.预算金额：</w:t>
      </w:r>
      <w:r>
        <w:rPr>
          <w:rFonts w:hint="eastAsia" w:ascii="Times New Roman" w:hAnsi="Times New Roman" w:cs="仿宋"/>
          <w:color w:val="auto"/>
          <w:sz w:val="24"/>
          <w:szCs w:val="24"/>
          <w:highlight w:val="none"/>
          <w:lang w:val="en-US" w:eastAsia="zh-CN"/>
        </w:rPr>
        <w:t>40万元</w:t>
      </w:r>
    </w:p>
    <w:p>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4.本项目设定最高限价，</w:t>
      </w:r>
      <w:r>
        <w:rPr>
          <w:rFonts w:hint="eastAsia" w:ascii="Times New Roman" w:hAnsi="Times New Roman" w:cs="仿宋"/>
          <w:color w:val="auto"/>
          <w:sz w:val="24"/>
          <w:szCs w:val="24"/>
          <w:highlight w:val="none"/>
          <w:lang w:val="en-US" w:eastAsia="zh-CN"/>
        </w:rPr>
        <w:t>40万元</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5.采购需求（简介）</w:t>
      </w:r>
      <w:bookmarkStart w:id="10" w:name="OLE_LINK4"/>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为宿豫区</w:t>
      </w:r>
      <w:r>
        <w:rPr>
          <w:rFonts w:hint="eastAsia" w:ascii="Times New Roman" w:hAnsi="Times New Roman" w:cs="仿宋"/>
          <w:color w:val="auto"/>
          <w:sz w:val="24"/>
          <w:szCs w:val="24"/>
          <w:highlight w:val="none"/>
        </w:rPr>
        <w:t>教育局大楼（1楼</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3-7楼</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12楼）</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楼梯道</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会议室</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lang w:val="en-US" w:eastAsia="zh-CN"/>
        </w:rPr>
        <w:t>卫生间、</w:t>
      </w:r>
      <w:r>
        <w:rPr>
          <w:rFonts w:hint="eastAsia" w:ascii="Times New Roman" w:hAnsi="Times New Roman" w:cs="仿宋"/>
          <w:color w:val="auto"/>
          <w:sz w:val="24"/>
          <w:szCs w:val="24"/>
          <w:highlight w:val="none"/>
        </w:rPr>
        <w:t>院落清洁、绿化管养等</w:t>
      </w:r>
      <w:r>
        <w:rPr>
          <w:rFonts w:hint="eastAsia" w:ascii="Times New Roman" w:hAnsi="Times New Roman" w:cs="仿宋"/>
          <w:color w:val="auto"/>
          <w:sz w:val="24"/>
          <w:szCs w:val="24"/>
          <w:highlight w:val="none"/>
          <w:lang w:val="en-US" w:eastAsia="zh-CN"/>
        </w:rPr>
        <w:t>服务</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lang w:val="en-US" w:eastAsia="zh-CN"/>
        </w:rPr>
        <w:t>提供保洁员2 名（兼绿化管养人员）、消控室值班人员2名</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本项目共分</w:t>
      </w: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rPr>
        <w:t>个采购包，详细内容见第四部分采购需求。</w:t>
      </w:r>
    </w:p>
    <w:bookmarkEnd w:id="10"/>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6.合同履行期限：</w:t>
      </w:r>
      <w:r>
        <w:rPr>
          <w:rFonts w:hint="eastAsia" w:ascii="Times New Roman" w:hAnsi="Times New Roman" w:cs="仿宋"/>
          <w:color w:val="auto"/>
          <w:sz w:val="24"/>
          <w:szCs w:val="24"/>
          <w:highlight w:val="none"/>
          <w:lang w:eastAsia="zh-CN"/>
        </w:rPr>
        <w:t>2年，自合同生效之日起计算</w:t>
      </w:r>
      <w:r>
        <w:rPr>
          <w:rFonts w:hint="eastAsia" w:ascii="Times New Roman" w:hAnsi="Times New Roman" w:cs="仿宋"/>
          <w:color w:val="auto"/>
          <w:sz w:val="24"/>
          <w:szCs w:val="24"/>
          <w:highlight w:val="none"/>
        </w:rPr>
        <w:t>。</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7.</w:t>
      </w:r>
      <w:r>
        <w:rPr>
          <w:rFonts w:hint="eastAsia" w:ascii="Times New Roman" w:hAnsi="Times New Roman" w:cs="仿宋"/>
          <w:color w:val="auto"/>
          <w:sz w:val="24"/>
          <w:szCs w:val="24"/>
          <w:highlight w:val="none"/>
        </w:rPr>
        <w:t>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联合体磋商。</w:t>
      </w:r>
    </w:p>
    <w:p>
      <w:pPr>
        <w:pStyle w:val="87"/>
        <w:spacing w:before="0" w:after="0" w:line="520" w:lineRule="exact"/>
        <w:ind w:firstLine="643"/>
        <w:rPr>
          <w:rFonts w:eastAsia="宋体"/>
          <w:color w:val="auto"/>
          <w:sz w:val="32"/>
          <w:highlight w:val="none"/>
        </w:rPr>
      </w:pPr>
      <w:bookmarkStart w:id="11" w:name="_Toc35393622"/>
      <w:bookmarkStart w:id="12" w:name="_Toc38985264"/>
      <w:bookmarkStart w:id="13" w:name="_Toc28359080"/>
      <w:bookmarkStart w:id="14" w:name="_Toc28359003"/>
      <w:bookmarkStart w:id="15" w:name="_Toc35393791"/>
      <w:r>
        <w:rPr>
          <w:rFonts w:hint="eastAsia" w:eastAsia="宋体"/>
          <w:color w:val="auto"/>
          <w:sz w:val="32"/>
          <w:highlight w:val="none"/>
        </w:rPr>
        <w:t>二、申请人的资格要求</w:t>
      </w:r>
      <w:bookmarkEnd w:id="11"/>
      <w:bookmarkEnd w:id="12"/>
      <w:bookmarkEnd w:id="13"/>
      <w:bookmarkEnd w:id="14"/>
      <w:bookmarkEnd w:id="15"/>
    </w:p>
    <w:p>
      <w:pPr>
        <w:spacing w:line="480" w:lineRule="exact"/>
        <w:ind w:firstLine="482"/>
        <w:rPr>
          <w:rFonts w:ascii="Times New Roman" w:hAnsi="Times New Roman" w:cs="仿宋"/>
          <w:color w:val="auto"/>
          <w:sz w:val="24"/>
          <w:szCs w:val="24"/>
          <w:highlight w:val="none"/>
        </w:rPr>
      </w:pPr>
      <w:bookmarkStart w:id="16" w:name="_Toc28359081"/>
      <w:bookmarkStart w:id="17" w:name="_Toc35393792"/>
      <w:bookmarkStart w:id="18" w:name="_Toc35393623"/>
      <w:bookmarkStart w:id="19" w:name="_Toc38985265"/>
      <w:bookmarkStart w:id="20" w:name="_Toc28359004"/>
      <w:r>
        <w:rPr>
          <w:rFonts w:hint="eastAsia" w:ascii="Times New Roman" w:hAnsi="Times New Roman" w:cs="仿宋"/>
          <w:color w:val="auto"/>
          <w:sz w:val="24"/>
          <w:szCs w:val="24"/>
          <w:highlight w:val="none"/>
        </w:rPr>
        <w:t>（一）通用资格要求</w:t>
      </w:r>
    </w:p>
    <w:p>
      <w:pPr>
        <w:spacing w:line="480" w:lineRule="exact"/>
        <w:ind w:firstLine="482"/>
        <w:rPr>
          <w:rFonts w:ascii="宋体" w:hAnsi="宋体" w:cs="宋体"/>
          <w:color w:val="auto"/>
          <w:sz w:val="24"/>
          <w:szCs w:val="24"/>
          <w:highlight w:val="none"/>
        </w:rPr>
      </w:pPr>
      <w:r>
        <w:rPr>
          <w:rFonts w:hint="eastAsia" w:ascii="Times New Roman" w:hAnsi="Times New Roman" w:cs="仿宋"/>
          <w:color w:val="auto"/>
          <w:sz w:val="24"/>
          <w:szCs w:val="24"/>
          <w:highlight w:val="none"/>
        </w:rPr>
        <w:t>1.</w:t>
      </w:r>
      <w:r>
        <w:rPr>
          <w:rFonts w:hint="eastAsia" w:ascii="宋体" w:hAnsi="宋体" w:cs="宋体"/>
          <w:color w:val="auto"/>
          <w:sz w:val="24"/>
          <w:szCs w:val="24"/>
          <w:highlight w:val="none"/>
        </w:rPr>
        <w:t>具备《中华人民共和国政府采购法》第二十二条第一款规定的6项条件（按要求提供磋商响应函）。</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r>
        <w:rPr>
          <w:rFonts w:hint="eastAsia" w:ascii="宋体" w:hAnsi="宋体" w:cs="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pPr>
        <w:pStyle w:val="725"/>
        <w:tabs>
          <w:tab w:val="left" w:pos="312"/>
        </w:tabs>
        <w:spacing w:after="0" w:line="480" w:lineRule="exact"/>
        <w:ind w:firstLine="480"/>
        <w:rPr>
          <w:rFonts w:ascii="方正仿宋_GBK" w:hAnsi="方正仿宋_GBK" w:eastAsia="方正仿宋_GBK" w:cs="方正仿宋_GBK"/>
          <w:color w:val="auto"/>
          <w:highlight w:val="none"/>
        </w:rPr>
      </w:pPr>
      <w:r>
        <w:rPr>
          <w:rFonts w:hint="eastAsia" w:eastAsia="宋体" w:cs="仿宋"/>
          <w:color w:val="auto"/>
          <w:highlight w:val="none"/>
        </w:rPr>
        <w:t>3.落实政府采购政策需满足的资格要求：</w:t>
      </w:r>
      <w:r>
        <w:rPr>
          <w:rFonts w:hint="eastAsia" w:ascii="宋体" w:hAnsi="宋体" w:eastAsia="宋体" w:cs="宋体"/>
          <w:color w:val="auto"/>
          <w:highlight w:val="none"/>
        </w:rPr>
        <w:t>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eastAsia="宋体" w:cs="仿宋"/>
          <w:color w:val="auto"/>
          <w:highlight w:val="none"/>
        </w:rPr>
        <w:t>。</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（二）本项目的特定资格要求：无。</w:t>
      </w:r>
    </w:p>
    <w:p>
      <w:pPr>
        <w:pStyle w:val="87"/>
        <w:spacing w:before="0" w:after="0" w:line="520" w:lineRule="exact"/>
        <w:ind w:firstLine="643"/>
        <w:rPr>
          <w:rFonts w:eastAsia="宋体"/>
          <w:color w:val="auto"/>
          <w:sz w:val="32"/>
          <w:highlight w:val="none"/>
        </w:rPr>
      </w:pPr>
      <w:r>
        <w:rPr>
          <w:rFonts w:hint="eastAsia" w:eastAsia="宋体"/>
          <w:color w:val="auto"/>
          <w:sz w:val="32"/>
          <w:highlight w:val="none"/>
        </w:rPr>
        <w:t>三、获取磋商文件</w:t>
      </w:r>
      <w:bookmarkEnd w:id="16"/>
      <w:bookmarkEnd w:id="17"/>
      <w:bookmarkEnd w:id="18"/>
      <w:bookmarkEnd w:id="19"/>
      <w:bookmarkEnd w:id="20"/>
    </w:p>
    <w:p>
      <w:pPr>
        <w:spacing w:line="480" w:lineRule="exact"/>
        <w:ind w:firstLine="482"/>
        <w:rPr>
          <w:rFonts w:ascii="Times New Roman" w:hAnsi="Times New Roman" w:cs="仿宋"/>
          <w:color w:val="auto"/>
          <w:sz w:val="24"/>
          <w:szCs w:val="24"/>
          <w:highlight w:val="none"/>
        </w:rPr>
      </w:pPr>
      <w:bookmarkStart w:id="21" w:name="_Toc35393793"/>
      <w:bookmarkStart w:id="22" w:name="_Toc28359082"/>
      <w:bookmarkStart w:id="23" w:name="_Toc28359005"/>
      <w:bookmarkStart w:id="24" w:name="_Toc35393624"/>
      <w:bookmarkStart w:id="25" w:name="_Toc38985266"/>
      <w:r>
        <w:rPr>
          <w:rFonts w:hint="eastAsia" w:ascii="Times New Roman" w:hAnsi="Times New Roman" w:cs="仿宋"/>
          <w:color w:val="auto"/>
          <w:sz w:val="24"/>
          <w:szCs w:val="24"/>
          <w:highlight w:val="none"/>
        </w:rPr>
        <w:t>1.时间：</w:t>
      </w:r>
      <w:r>
        <w:rPr>
          <w:rFonts w:hint="eastAsia" w:ascii="宋体" w:hAnsi="宋体" w:cs="宋体"/>
          <w:color w:val="auto"/>
          <w:sz w:val="24"/>
          <w:szCs w:val="24"/>
          <w:highlight w:val="none"/>
        </w:rPr>
        <w:t>自磋商文件公告发布之日起5个工作日。</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2.方式：供应商应在磋商文件提供的时间内，通过“苏采云”系统（网址： http://jszfcg.jsczt.cn/），使用CA锁登录系统后，找到本项目获取磋商文件（后缀名为“.kedt”）。</w:t>
      </w:r>
    </w:p>
    <w:p>
      <w:pPr>
        <w:spacing w:line="480" w:lineRule="exact"/>
        <w:ind w:firstLine="482"/>
        <w:rPr>
          <w:rFonts w:ascii="Times New Roman" w:hAnsi="Times New Roman" w:cs="仿宋"/>
          <w:color w:val="auto"/>
          <w:sz w:val="24"/>
          <w:szCs w:val="24"/>
          <w:highlight w:val="none"/>
        </w:rPr>
      </w:pPr>
      <w:bookmarkStart w:id="26" w:name="EB0c44ff4da61f4af989d119fe214be450"/>
      <w:r>
        <w:rPr>
          <w:rFonts w:hint="eastAsia" w:ascii="Times New Roman" w:hAnsi="Times New Roman" w:cs="仿宋"/>
          <w:color w:val="auto"/>
          <w:sz w:val="24"/>
          <w:szCs w:val="24"/>
          <w:highlight w:val="none"/>
        </w:rPr>
        <w:t>3.本项目共分</w:t>
      </w: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rPr>
        <w:t>个采购包。</w:t>
      </w:r>
      <w:bookmarkEnd w:id="21"/>
      <w:bookmarkEnd w:id="22"/>
      <w:bookmarkEnd w:id="23"/>
      <w:bookmarkEnd w:id="24"/>
      <w:bookmarkEnd w:id="25"/>
      <w:bookmarkEnd w:id="26"/>
    </w:p>
    <w:p>
      <w:pPr>
        <w:pStyle w:val="87"/>
        <w:spacing w:before="0" w:after="0" w:line="520" w:lineRule="exact"/>
        <w:ind w:firstLine="643"/>
        <w:rPr>
          <w:rFonts w:eastAsia="宋体"/>
          <w:color w:val="auto"/>
          <w:sz w:val="32"/>
          <w:highlight w:val="none"/>
        </w:rPr>
      </w:pPr>
      <w:bookmarkStart w:id="27" w:name="_Toc28359084"/>
      <w:bookmarkStart w:id="28" w:name="_Toc35393625"/>
      <w:bookmarkStart w:id="29" w:name="_Toc28359007"/>
      <w:bookmarkStart w:id="30" w:name="_Toc35393794"/>
      <w:bookmarkStart w:id="31" w:name="_Toc38985267"/>
      <w:r>
        <w:rPr>
          <w:rFonts w:hint="eastAsia" w:eastAsia="宋体"/>
          <w:color w:val="auto"/>
          <w:sz w:val="32"/>
          <w:highlight w:val="none"/>
        </w:rPr>
        <w:t>四、提交响应文件截止时间、磋商时间及地点</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 提交响应文件截止时间、磋商时间：202</w:t>
      </w:r>
      <w:r>
        <w:rPr>
          <w:rFonts w:hint="eastAsia" w:ascii="Times New Roman" w:hAnsi="Times New Roman" w:cs="仿宋"/>
          <w:color w:val="auto"/>
          <w:sz w:val="24"/>
          <w:szCs w:val="24"/>
          <w:highlight w:val="none"/>
          <w:lang w:val="en-US" w:eastAsia="zh-CN"/>
        </w:rPr>
        <w:t>6</w:t>
      </w:r>
      <w:r>
        <w:rPr>
          <w:rFonts w:hint="eastAsia" w:ascii="Times New Roman" w:hAnsi="Times New Roman" w:cs="仿宋"/>
          <w:color w:val="auto"/>
          <w:sz w:val="24"/>
          <w:szCs w:val="24"/>
          <w:highlight w:val="none"/>
        </w:rPr>
        <w:t>年</w:t>
      </w:r>
      <w:r>
        <w:rPr>
          <w:rFonts w:hint="eastAsia" w:ascii="Times New Roman" w:hAnsi="Times New Roman" w:cs="仿宋"/>
          <w:color w:val="auto"/>
          <w:sz w:val="24"/>
          <w:szCs w:val="24"/>
          <w:highlight w:val="none"/>
          <w:lang w:val="en-US" w:eastAsia="zh-CN"/>
        </w:rPr>
        <w:t>5</w:t>
      </w:r>
      <w:r>
        <w:rPr>
          <w:rFonts w:hint="eastAsia" w:ascii="Times New Roman" w:hAnsi="Times New Roman" w:cs="仿宋"/>
          <w:color w:val="auto"/>
          <w:sz w:val="24"/>
          <w:szCs w:val="24"/>
          <w:highlight w:val="none"/>
        </w:rPr>
        <w:t>月</w:t>
      </w:r>
      <w:r>
        <w:rPr>
          <w:rFonts w:hint="eastAsia" w:ascii="Times New Roman" w:hAnsi="Times New Roman" w:cs="仿宋"/>
          <w:color w:val="auto"/>
          <w:sz w:val="24"/>
          <w:szCs w:val="24"/>
          <w:highlight w:val="none"/>
          <w:lang w:val="en-US" w:eastAsia="zh-CN"/>
        </w:rPr>
        <w:t>26</w:t>
      </w:r>
      <w:r>
        <w:rPr>
          <w:rFonts w:hint="eastAsia" w:ascii="Times New Roman" w:hAnsi="Times New Roman" w:cs="仿宋"/>
          <w:color w:val="auto"/>
          <w:sz w:val="24"/>
          <w:szCs w:val="24"/>
          <w:highlight w:val="none"/>
        </w:rPr>
        <w:t>日09点30分（北京时间）。</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地点：“苏采云”政府采购交易系统网上开标大厅。</w:t>
      </w:r>
    </w:p>
    <w:p>
      <w:pPr>
        <w:pStyle w:val="87"/>
        <w:spacing w:before="0" w:after="0" w:line="520" w:lineRule="exact"/>
        <w:ind w:firstLine="643"/>
        <w:rPr>
          <w:rFonts w:eastAsia="宋体"/>
          <w:color w:val="auto"/>
          <w:sz w:val="32"/>
          <w:highlight w:val="none"/>
        </w:rPr>
      </w:pPr>
      <w:r>
        <w:rPr>
          <w:rFonts w:hint="eastAsia" w:eastAsia="宋体"/>
          <w:color w:val="auto"/>
          <w:sz w:val="32"/>
          <w:highlight w:val="none"/>
        </w:rPr>
        <w:t>五、公告期限</w:t>
      </w:r>
      <w:bookmarkEnd w:id="27"/>
      <w:bookmarkEnd w:id="28"/>
      <w:bookmarkEnd w:id="29"/>
      <w:bookmarkEnd w:id="30"/>
      <w:bookmarkEnd w:id="31"/>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自本公告发布之日起3个工作日。</w:t>
      </w:r>
    </w:p>
    <w:p>
      <w:pPr>
        <w:pStyle w:val="87"/>
        <w:spacing w:before="0" w:after="0" w:line="520" w:lineRule="exact"/>
        <w:ind w:firstLine="643"/>
        <w:rPr>
          <w:rFonts w:eastAsia="宋体"/>
          <w:color w:val="auto"/>
          <w:sz w:val="32"/>
          <w:highlight w:val="none"/>
        </w:rPr>
      </w:pPr>
      <w:r>
        <w:rPr>
          <w:rFonts w:hint="eastAsia" w:eastAsia="宋体"/>
          <w:color w:val="auto"/>
          <w:sz w:val="32"/>
          <w:highlight w:val="none"/>
        </w:rPr>
        <w:t>六、其他补充事宜</w:t>
      </w:r>
    </w:p>
    <w:p>
      <w:pPr>
        <w:spacing w:line="480" w:lineRule="exact"/>
        <w:ind w:firstLine="480"/>
        <w:rPr>
          <w:rFonts w:ascii="Times New Roman" w:hAnsi="Times New Roman" w:cs="仿宋"/>
          <w:color w:val="auto"/>
          <w:sz w:val="24"/>
          <w:szCs w:val="24"/>
          <w:highlight w:val="none"/>
        </w:rPr>
      </w:pPr>
      <w:bookmarkStart w:id="32" w:name="EB64e1f522fd8c43fcb4d3ba471386b3e7"/>
      <w:bookmarkStart w:id="33" w:name="_Toc38985269"/>
      <w:bookmarkStart w:id="34" w:name="_Toc28359085"/>
      <w:bookmarkStart w:id="35" w:name="_Toc28359008"/>
      <w:bookmarkStart w:id="36" w:name="_Toc35393796"/>
      <w:bookmarkStart w:id="37" w:name="_Toc35393627"/>
      <w:r>
        <w:rPr>
          <w:rFonts w:hint="eastAsia" w:ascii="Times New Roman" w:hAnsi="Times New Roman" w:cs="仿宋"/>
          <w:color w:val="auto"/>
          <w:sz w:val="24"/>
          <w:szCs w:val="24"/>
          <w:highlight w:val="none"/>
        </w:rPr>
        <w:t>1. 磋商公告发布媒体：江苏政府采购网、宿迁市政府采购网等。</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2.“CA”数字证书办理：“苏采云”系统目前仅支持“苏采云”系统下的意源CA。省内各地区办理的“苏采云”系统下的意源CA全省通用。宿迁地区CA数字证书办理联系方式：18351098172。</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3.宿迁地区“苏采云”系统技术支持客服电话：0527-84363067、0519-86722806。</w:t>
      </w:r>
      <w:bookmarkEnd w:id="32"/>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4.质疑渠道：供应商登录“苏采云”系统“项目质疑申请”模块向采购人提出，质疑处理联系方式详见“采购人信息”；财政部门投诉受理电话：0527-84465519。</w:t>
      </w:r>
    </w:p>
    <w:p>
      <w:pPr>
        <w:pStyle w:val="87"/>
        <w:spacing w:before="0" w:after="0" w:line="520" w:lineRule="exact"/>
        <w:ind w:firstLine="643"/>
        <w:rPr>
          <w:rFonts w:eastAsia="宋体"/>
          <w:color w:val="auto"/>
          <w:sz w:val="32"/>
          <w:highlight w:val="none"/>
        </w:rPr>
      </w:pPr>
      <w:r>
        <w:rPr>
          <w:rFonts w:hint="eastAsia" w:eastAsia="宋体"/>
          <w:color w:val="auto"/>
          <w:sz w:val="32"/>
          <w:highlight w:val="none"/>
        </w:rPr>
        <w:t>七、本次磋商联系方式</w:t>
      </w:r>
      <w:bookmarkEnd w:id="33"/>
      <w:bookmarkEnd w:id="34"/>
      <w:bookmarkEnd w:id="35"/>
      <w:bookmarkEnd w:id="36"/>
      <w:bookmarkEnd w:id="37"/>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1.采购人信息</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宿迁市宿豫区教育考试服务中心</w:t>
      </w:r>
    </w:p>
    <w:p>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宿迁市宿豫区项王东路28号</w:t>
      </w:r>
    </w:p>
    <w:p>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曹智淇</w:t>
      </w:r>
    </w:p>
    <w:p>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eastAsia="zh-CN"/>
        </w:rPr>
        <w:t>17327559988</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名    称：宿迁市宿豫区公共资源交易中心</w:t>
      </w:r>
    </w:p>
    <w:p>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  　址：宿迁市宿豫区洪泽湖东路19号政泰大厦3楼</w:t>
      </w:r>
    </w:p>
    <w:p>
      <w:pPr>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陈海燕</w:t>
      </w:r>
    </w:p>
    <w:p>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联系方式：0527-84480123</w:t>
      </w:r>
    </w:p>
    <w:p>
      <w:pPr>
        <w:spacing w:line="480" w:lineRule="exact"/>
        <w:ind w:firstLine="482"/>
        <w:rPr>
          <w:rFonts w:ascii="Times New Roman" w:hAnsi="Times New Roman" w:cs="仿宋"/>
          <w:color w:val="auto"/>
          <w:sz w:val="24"/>
          <w:szCs w:val="24"/>
          <w:highlight w:val="none"/>
        </w:rPr>
      </w:pPr>
    </w:p>
    <w:p>
      <w:pPr>
        <w:spacing w:line="480" w:lineRule="exact"/>
        <w:ind w:firstLine="482"/>
        <w:rPr>
          <w:rFonts w:ascii="Times New Roman" w:hAnsi="Times New Roman" w:cs="仿宋"/>
          <w:color w:val="auto"/>
          <w:sz w:val="24"/>
          <w:szCs w:val="24"/>
          <w:highlight w:val="none"/>
        </w:rPr>
      </w:pPr>
    </w:p>
    <w:p>
      <w:pPr>
        <w:pStyle w:val="86"/>
        <w:spacing w:before="200"/>
        <w:jc w:val="center"/>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38" w:name="_Toc11816"/>
      <w:bookmarkStart w:id="39" w:name="_Toc706"/>
      <w:bookmarkStart w:id="40" w:name="_Toc3146"/>
      <w:r>
        <w:rPr>
          <w:rFonts w:hint="eastAsia" w:ascii="Times New Roman" w:hAnsi="Times New Roman" w:eastAsia="黑体"/>
          <w:color w:val="auto"/>
          <w:sz w:val="44"/>
          <w:highlight w:val="none"/>
        </w:rPr>
        <w:t>第二章  供应商须知</w:t>
      </w:r>
      <w:bookmarkEnd w:id="3"/>
      <w:bookmarkEnd w:id="38"/>
      <w:bookmarkEnd w:id="39"/>
      <w:bookmarkEnd w:id="40"/>
      <w:bookmarkStart w:id="41" w:name="EBa8c69c4726824205bbf6fbe49f912e2d"/>
      <w:bookmarkEnd w:id="41"/>
      <w:bookmarkStart w:id="42" w:name="EB154f34bfcea5417199f8cf429c255bfe"/>
      <w:bookmarkEnd w:id="42"/>
    </w:p>
    <w:p>
      <w:pPr>
        <w:pStyle w:val="87"/>
        <w:spacing w:before="0" w:line="520" w:lineRule="exact"/>
        <w:rPr>
          <w:rFonts w:eastAsia="宋体"/>
          <w:color w:val="auto"/>
          <w:sz w:val="32"/>
          <w:highlight w:val="none"/>
        </w:rPr>
      </w:pPr>
      <w:bookmarkStart w:id="43" w:name="_Toc141869961"/>
      <w:r>
        <w:rPr>
          <w:rFonts w:hint="eastAsia" w:eastAsia="宋体"/>
          <w:color w:val="auto"/>
          <w:sz w:val="32"/>
          <w:highlight w:val="none"/>
        </w:rPr>
        <w:t>供应商须知前附表：</w:t>
      </w:r>
      <w:bookmarkEnd w:id="43"/>
    </w:p>
    <w:tbl>
      <w:tblPr>
        <w:tblStyle w:val="3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pPr>
              <w:jc w:val="center"/>
              <w:rPr>
                <w:rFonts w:ascii="仿宋_GB2312" w:hAnsi="仿宋"/>
                <w:color w:val="auto"/>
                <w:sz w:val="24"/>
                <w:szCs w:val="24"/>
                <w:highlight w:val="none"/>
              </w:rPr>
            </w:pPr>
            <w:r>
              <w:rPr>
                <w:rFonts w:hint="eastAsia" w:ascii="仿宋_GB2312" w:hAnsi="仿宋"/>
                <w:color w:val="auto"/>
                <w:sz w:val="24"/>
                <w:szCs w:val="24"/>
                <w:highlight w:val="none"/>
              </w:rPr>
              <w:t>序号</w:t>
            </w:r>
          </w:p>
        </w:tc>
        <w:tc>
          <w:tcPr>
            <w:tcW w:w="1984" w:type="dxa"/>
            <w:vAlign w:val="center"/>
          </w:tcPr>
          <w:p>
            <w:pPr>
              <w:jc w:val="center"/>
              <w:rPr>
                <w:rFonts w:ascii="仿宋_GB2312" w:hAnsi="仿宋"/>
                <w:color w:val="auto"/>
                <w:sz w:val="24"/>
                <w:szCs w:val="24"/>
                <w:highlight w:val="none"/>
              </w:rPr>
            </w:pPr>
            <w:r>
              <w:rPr>
                <w:rFonts w:hint="eastAsia" w:ascii="仿宋_GB2312" w:hAnsi="仿宋"/>
                <w:color w:val="auto"/>
                <w:sz w:val="24"/>
                <w:szCs w:val="24"/>
                <w:highlight w:val="none"/>
              </w:rPr>
              <w:t>内容</w:t>
            </w:r>
          </w:p>
        </w:tc>
        <w:tc>
          <w:tcPr>
            <w:tcW w:w="5975" w:type="dxa"/>
            <w:vAlign w:val="center"/>
          </w:tcPr>
          <w:p>
            <w:pPr>
              <w:jc w:val="center"/>
              <w:rPr>
                <w:rFonts w:ascii="仿宋_GB2312" w:hAnsi="仿宋"/>
                <w:color w:val="auto"/>
                <w:sz w:val="24"/>
                <w:szCs w:val="24"/>
                <w:highlight w:val="none"/>
              </w:rPr>
            </w:pPr>
            <w:r>
              <w:rPr>
                <w:rFonts w:hint="eastAsia" w:ascii="仿宋_GB2312" w:hAnsi="仿宋"/>
                <w:color w:val="auto"/>
                <w:sz w:val="24"/>
                <w:szCs w:val="24"/>
                <w:highlight w:val="none"/>
              </w:rPr>
              <w:t>说明及要求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1"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项目类别</w:t>
            </w:r>
          </w:p>
        </w:tc>
        <w:tc>
          <w:tcPr>
            <w:tcW w:w="5975" w:type="dxa"/>
            <w:vAlign w:val="center"/>
          </w:tcPr>
          <w:p>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44" w:name="EB9a5853ee094f4f0ea6ec3169265f6f2c"/>
            <w:r>
              <w:rPr>
                <w:rFonts w:hint="eastAsia" w:ascii="Times New Roman" w:hAnsi="Times New Roman" w:cs="仿宋"/>
                <w:color w:val="auto"/>
                <w:sz w:val="24"/>
                <w:szCs w:val="24"/>
                <w:highlight w:val="none"/>
              </w:rPr>
              <w:t>属性按以下第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highlight w:val="none"/>
              </w:rPr>
              <w:t>种确定：</w:t>
            </w:r>
          </w:p>
          <w:p>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44"/>
            <w:r>
              <w:rPr>
                <w:rFonts w:hint="eastAsia" w:ascii="Times New Roman" w:hAnsi="Times New Roman" w:cs="仿宋"/>
                <w:color w:val="auto"/>
                <w:sz w:val="24"/>
                <w:szCs w:val="24"/>
                <w:highlight w:val="none"/>
              </w:rPr>
              <w:t>.货物</w:t>
            </w:r>
            <w:bookmarkStart w:id="45" w:name="EBd5c6c026f9674c39b21b31ecd0c1e7fa"/>
            <w:r>
              <w:rPr>
                <w:rFonts w:hint="eastAsia" w:ascii="Times New Roman" w:hAnsi="Times New Roman" w:cs="仿宋"/>
                <w:color w:val="auto"/>
                <w:sz w:val="24"/>
                <w:szCs w:val="24"/>
                <w:highlight w:val="none"/>
              </w:rPr>
              <w:t>采购；2.</w:t>
            </w:r>
            <w:bookmarkEnd w:id="45"/>
            <w:r>
              <w:rPr>
                <w:rFonts w:hint="eastAsia" w:ascii="Times New Roman" w:hAnsi="Times New Roman" w:cs="仿宋"/>
                <w:color w:val="auto"/>
                <w:sz w:val="24"/>
                <w:szCs w:val="24"/>
                <w:highlight w:val="none"/>
              </w:rPr>
              <w:t>服务</w:t>
            </w:r>
            <w:bookmarkStart w:id="46" w:name="EBf7d2a4f44ecb4166a93ea852e73be69f"/>
            <w:r>
              <w:rPr>
                <w:rFonts w:hint="eastAsia" w:ascii="Times New Roman" w:hAnsi="Times New Roman" w:cs="仿宋"/>
                <w:color w:val="auto"/>
                <w:sz w:val="24"/>
                <w:szCs w:val="24"/>
                <w:highlight w:val="none"/>
              </w:rPr>
              <w:t>采购；3.</w:t>
            </w:r>
            <w:bookmarkEnd w:id="46"/>
            <w:r>
              <w:rPr>
                <w:rFonts w:hint="eastAsia" w:ascii="Times New Roman" w:hAnsi="Times New Roman" w:cs="仿宋"/>
                <w:color w:val="auto"/>
                <w:sz w:val="24"/>
                <w:szCs w:val="24"/>
                <w:highlight w:val="none"/>
              </w:rPr>
              <w:t>工程采购。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响应有效期</w:t>
            </w:r>
          </w:p>
        </w:tc>
        <w:tc>
          <w:tcPr>
            <w:tcW w:w="5975" w:type="dxa"/>
            <w:vAlign w:val="center"/>
          </w:tcPr>
          <w:p>
            <w:pPr>
              <w:spacing w:line="360" w:lineRule="exact"/>
              <w:jc w:val="left"/>
              <w:rPr>
                <w:rFonts w:ascii="Times New Roman" w:hAnsi="Times New Roman" w:cs="仿宋"/>
                <w:color w:val="auto"/>
                <w:sz w:val="24"/>
                <w:szCs w:val="24"/>
                <w:highlight w:val="none"/>
              </w:rPr>
            </w:pPr>
            <w:bookmarkStart w:id="47" w:name="EBf2540e281f614ac8b4efc83b6e64d4d2"/>
            <w:r>
              <w:rPr>
                <w:rFonts w:hint="eastAsia" w:ascii="Times New Roman" w:hAnsi="Times New Roman" w:cs="仿宋"/>
                <w:color w:val="auto"/>
                <w:sz w:val="24"/>
                <w:szCs w:val="24"/>
                <w:highlight w:val="none"/>
              </w:rPr>
              <w:t>60</w:t>
            </w:r>
            <w:bookmarkEnd w:id="47"/>
            <w:r>
              <w:rPr>
                <w:rFonts w:hint="eastAsia" w:ascii="Times New Roman" w:hAnsi="Times New Roman" w:cs="仿宋"/>
                <w:color w:val="auto"/>
                <w:sz w:val="24"/>
                <w:szCs w:val="24"/>
                <w:highlight w:val="none"/>
              </w:rPr>
              <w:t>日（从提交响应文件截止之日起算）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响应文件份数</w:t>
            </w:r>
          </w:p>
        </w:tc>
        <w:tc>
          <w:tcPr>
            <w:tcW w:w="5975" w:type="dxa"/>
            <w:vAlign w:val="center"/>
          </w:tcPr>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提交加密电子响应文件1份。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5975" w:type="dxa"/>
            <w:vAlign w:val="center"/>
          </w:tcPr>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szCs w:val="24"/>
                <w:highlight w:val="none"/>
              </w:rPr>
              <w:t>种方式确定：</w:t>
            </w:r>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bookmarkStart w:id="48" w:name="OLE_LINK8"/>
            <w:r>
              <w:rPr>
                <w:rFonts w:hint="eastAsia" w:ascii="Times New Roman" w:hAnsi="Times New Roman" w:cs="仿宋"/>
                <w:color w:val="auto"/>
                <w:sz w:val="24"/>
                <w:highlight w:val="none"/>
              </w:rPr>
              <w:t>应当符合《政</w:t>
            </w:r>
            <w:bookmarkStart w:id="49" w:name="OLE_LINK1"/>
            <w:r>
              <w:rPr>
                <w:rFonts w:hint="eastAsia" w:ascii="Times New Roman" w:hAnsi="Times New Roman" w:cs="仿宋"/>
                <w:color w:val="auto"/>
                <w:sz w:val="24"/>
                <w:highlight w:val="none"/>
              </w:rPr>
              <w:t>府采购进口产品管理办法</w:t>
            </w:r>
            <w:bookmarkEnd w:id="49"/>
            <w:r>
              <w:rPr>
                <w:rFonts w:hint="eastAsia" w:ascii="Times New Roman" w:hAnsi="Times New Roman" w:cs="仿宋"/>
                <w:color w:val="auto"/>
                <w:sz w:val="24"/>
                <w:highlight w:val="none"/>
              </w:rPr>
              <w:t>》（财库〔2007〕119号）《关于政府采购进口产品管理有关问题的通知》（财办库〔2008〕248号）等相关规定</w:t>
            </w:r>
            <w:r>
              <w:rPr>
                <w:rFonts w:hint="eastAsia" w:ascii="Times New Roman" w:hAnsi="Times New Roman" w:cs="仿宋"/>
                <w:color w:val="auto"/>
                <w:sz w:val="24"/>
                <w:szCs w:val="24"/>
                <w:highlight w:val="none"/>
              </w:rPr>
              <w:t>；</w:t>
            </w:r>
            <w:bookmarkEnd w:id="48"/>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不接受进口产品。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评审方法</w:t>
            </w:r>
          </w:p>
        </w:tc>
        <w:tc>
          <w:tcPr>
            <w:tcW w:w="5975" w:type="dxa"/>
            <w:vAlign w:val="center"/>
          </w:tcPr>
          <w:p>
            <w:pPr>
              <w:widowControl w:val="0"/>
              <w:spacing w:line="360" w:lineRule="exact"/>
              <w:jc w:val="left"/>
              <w:rPr>
                <w:rFonts w:hint="eastAsia"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0"/>
                <w:highlight w:val="none"/>
                <w:lang w:val="en-US" w:eastAsia="zh-CN" w:bidi="ar-SA"/>
              </w:rPr>
              <w:t>具体评标办法详见招标文件第三章。</w:t>
            </w:r>
          </w:p>
          <w:p>
            <w:pPr>
              <w:pStyle w:val="302"/>
              <w:spacing w:line="360" w:lineRule="exact"/>
              <w:rPr>
                <w:rFonts w:ascii="Times New Roman" w:hAnsi="Times New Roman" w:cs="仿宋"/>
                <w:color w:val="auto"/>
                <w:sz w:val="24"/>
                <w:highlight w:val="none"/>
              </w:rPr>
            </w:pPr>
            <w:r>
              <w:rPr>
                <w:rFonts w:hint="eastAsia" w:ascii="Times New Roman" w:hAnsi="Times New Roman" w:eastAsia="宋体" w:cs="仿宋"/>
                <w:color w:val="auto"/>
                <w:sz w:val="24"/>
                <w:szCs w:val="20"/>
                <w:highlight w:val="none"/>
                <w:lang w:val="en-US" w:eastAsia="zh-CN" w:bidi="ar-SA"/>
              </w:rPr>
              <w:t>磋商小组会依据招标文件规定的评标办法和标准推荐3名成交候选人。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确定成交人</w:t>
            </w:r>
          </w:p>
        </w:tc>
        <w:tc>
          <w:tcPr>
            <w:tcW w:w="5975" w:type="dxa"/>
            <w:vAlign w:val="center"/>
          </w:tcPr>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highlight w:val="none"/>
              </w:rPr>
              <w:t>种方式确定成交人：</w:t>
            </w:r>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1.采购人按照规定在磋商小组推荐的中标候选人中确定成交人；2.采购人授权磋商小组直接确定成交人；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5975" w:type="dxa"/>
            <w:vAlign w:val="center"/>
          </w:tcPr>
          <w:p>
            <w:pPr>
              <w:widowControl/>
              <w:spacing w:line="360" w:lineRule="exact"/>
              <w:jc w:val="left"/>
              <w:rPr>
                <w:rFonts w:ascii="Times New Roman" w:hAnsi="Times New Roman" w:cs="仿宋"/>
                <w:color w:val="auto"/>
                <w:sz w:val="24"/>
                <w:szCs w:val="24"/>
                <w:highlight w:val="none"/>
              </w:rPr>
            </w:pPr>
            <w:bookmarkStart w:id="50" w:name="EBebac1462c5d9459fbda8a75065c2455d"/>
            <w:r>
              <w:rPr>
                <w:rFonts w:hint="eastAsia" w:ascii="Times New Roman" w:hAnsi="Times New Roman" w:cs="仿宋"/>
                <w:color w:val="auto"/>
                <w:sz w:val="24"/>
                <w:szCs w:val="24"/>
                <w:highlight w:val="none"/>
              </w:rPr>
              <w:t>本项目的非主体、非关键性工作是否允许分包按以下第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szCs w:val="24"/>
                <w:highlight w:val="none"/>
              </w:rPr>
              <w:t>种方式确定：</w:t>
            </w:r>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50"/>
            <w:r>
              <w:rPr>
                <w:rFonts w:hint="eastAsia" w:ascii="Times New Roman" w:hAnsi="Times New Roman" w:cs="仿宋"/>
                <w:color w:val="auto"/>
                <w:sz w:val="24"/>
                <w:szCs w:val="24"/>
                <w:highlight w:val="none"/>
              </w:rPr>
              <w:t>允许分包，</w:t>
            </w:r>
            <w:bookmarkStart w:id="51"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51"/>
            <w:r>
              <w:rPr>
                <w:rFonts w:hint="eastAsia" w:ascii="Times New Roman" w:hAnsi="Times New Roman" w:cs="仿宋"/>
                <w:color w:val="auto"/>
                <w:sz w:val="24"/>
                <w:szCs w:val="24"/>
                <w:highlight w:val="none"/>
              </w:rPr>
              <w:t>无</w:t>
            </w:r>
          </w:p>
          <w:p>
            <w:pPr>
              <w:widowControl/>
              <w:spacing w:line="360" w:lineRule="exact"/>
              <w:jc w:val="left"/>
              <w:rPr>
                <w:rFonts w:ascii="Times New Roman" w:hAnsi="Times New Roman" w:cs="仿宋"/>
                <w:color w:val="auto"/>
                <w:sz w:val="24"/>
                <w:highlight w:val="none"/>
              </w:rPr>
            </w:pPr>
            <w:r>
              <w:rPr>
                <w:rFonts w:hint="eastAsia" w:ascii="Times New Roman" w:hAnsi="Times New Roman" w:cs="仿宋"/>
                <w:color w:val="auto"/>
                <w:sz w:val="24"/>
                <w:szCs w:val="24"/>
                <w:highlight w:val="none"/>
              </w:rPr>
              <w:t>2.不允许分包。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pPr>
              <w:spacing w:line="360" w:lineRule="exact"/>
              <w:jc w:val="center"/>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8</w:t>
            </w:r>
          </w:p>
        </w:tc>
        <w:tc>
          <w:tcPr>
            <w:tcW w:w="1984" w:type="dxa"/>
            <w:vAlign w:val="center"/>
          </w:tcPr>
          <w:p>
            <w:pPr>
              <w:spacing w:line="400" w:lineRule="exact"/>
              <w:jc w:val="center"/>
              <w:rPr>
                <w:rFonts w:hint="eastAsia" w:ascii="Calibri" w:hAnsi="Calibri" w:eastAsia="宋体" w:cs="仿宋"/>
                <w:color w:val="auto"/>
                <w:sz w:val="24"/>
                <w:szCs w:val="22"/>
                <w:lang w:val="en-US" w:eastAsia="zh-CN" w:bidi="ar-SA"/>
              </w:rPr>
            </w:pPr>
            <w:r>
              <w:rPr>
                <w:rFonts w:hint="eastAsia" w:cs="仿宋"/>
                <w:color w:val="auto"/>
                <w:sz w:val="24"/>
              </w:rPr>
              <w:t>代理费用收取方式及标准</w:t>
            </w:r>
          </w:p>
        </w:tc>
        <w:tc>
          <w:tcPr>
            <w:tcW w:w="5975" w:type="dxa"/>
            <w:vAlign w:val="center"/>
          </w:tcPr>
          <w:p>
            <w:pPr>
              <w:spacing w:line="400" w:lineRule="exact"/>
              <w:jc w:val="left"/>
              <w:rPr>
                <w:rFonts w:hint="eastAsia" w:ascii="Calibri" w:hAnsi="Calibri" w:eastAsia="宋体" w:cs="仿宋"/>
                <w:color w:val="auto"/>
                <w:sz w:val="24"/>
                <w:szCs w:val="22"/>
                <w:lang w:val="en-US" w:eastAsia="zh-CN" w:bidi="ar-SA"/>
              </w:rPr>
            </w:pPr>
            <w:r>
              <w:rPr>
                <w:rFonts w:hint="eastAsia" w:cs="仿宋"/>
                <w:color w:val="auto"/>
                <w:sz w:val="24"/>
              </w:rPr>
              <w:t>本项目不收取代理费。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pPr>
              <w:spacing w:line="360" w:lineRule="exact"/>
              <w:jc w:val="center"/>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9</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p>
        </w:tc>
        <w:tc>
          <w:tcPr>
            <w:tcW w:w="5975" w:type="dxa"/>
            <w:vAlign w:val="center"/>
          </w:tcPr>
          <w:p>
            <w:pPr>
              <w:spacing w:line="400" w:lineRule="exact"/>
              <w:jc w:val="lef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1、信用信息查询截止时间：资格审查结束前。由采购人在资格审查现场查询信用信息，网页截屏打印，查询结果留存并归档。</w:t>
            </w:r>
            <w:r>
              <w:rPr>
                <w:rFonts w:hint="eastAsia" w:ascii="Times New Roman" w:hAnsi="Times New Roman" w:cs="仿宋"/>
                <w:color w:val="auto"/>
                <w:sz w:val="24"/>
                <w:szCs w:val="24"/>
              </w:rPr>
              <w:t>2、</w:t>
            </w:r>
            <w:r>
              <w:rPr>
                <w:rFonts w:hint="eastAsia" w:ascii="Times New Roman" w:hAnsi="Times New Roman" w:cs="仿宋"/>
                <w:color w:val="auto"/>
                <w:sz w:val="24"/>
              </w:rPr>
              <w:t>本项目由</w:t>
            </w:r>
            <w:r>
              <w:rPr>
                <w:rFonts w:hint="eastAsia" w:ascii="Times New Roman" w:hAnsi="Times New Roman" w:cs="仿宋"/>
                <w:color w:val="auto"/>
                <w:sz w:val="24"/>
                <w:lang w:eastAsia="zh-CN"/>
              </w:rPr>
              <w:t>宿迁市宿豫区</w:t>
            </w:r>
            <w:r>
              <w:rPr>
                <w:rFonts w:hint="eastAsia" w:ascii="Times New Roman" w:hAnsi="Times New Roman" w:cs="仿宋"/>
                <w:color w:val="auto"/>
                <w:sz w:val="24"/>
                <w:lang w:val="en-US" w:eastAsia="zh-CN"/>
              </w:rPr>
              <w:t>教育局</w:t>
            </w:r>
            <w:r>
              <w:rPr>
                <w:rFonts w:hint="eastAsia" w:ascii="Times New Roman" w:hAnsi="Times New Roman" w:cs="仿宋"/>
                <w:color w:val="auto"/>
                <w:sz w:val="24"/>
              </w:rPr>
              <w:t>与相应成交供应商签订实施合同</w:t>
            </w:r>
            <w:r>
              <w:rPr>
                <w:rFonts w:hint="eastAsia" w:ascii="Times New Roman" w:hAnsi="Times New Roman" w:cs="仿宋"/>
                <w:color w:val="auto"/>
                <w:sz w:val="24"/>
                <w:lang w:eastAsia="zh-CN"/>
              </w:rPr>
              <w:t>。</w:t>
            </w:r>
            <w:bookmarkStart w:id="133" w:name="_GoBack"/>
            <w:bookmarkEnd w:id="133"/>
          </w:p>
        </w:tc>
      </w:tr>
    </w:tbl>
    <w:p>
      <w:pPr>
        <w:rPr>
          <w:rFonts w:ascii="仿宋" w:hAnsi="仿宋" w:eastAsia="仿宋" w:cs="仿宋"/>
          <w:color w:val="auto"/>
          <w:highlight w:val="none"/>
        </w:rPr>
      </w:pPr>
      <w:bookmarkStart w:id="52" w:name="EBc9d8a0a6c333409599b28034cbc893d2"/>
      <w:bookmarkEnd w:id="52"/>
      <w:bookmarkStart w:id="53" w:name="_Toc141869962"/>
    </w:p>
    <w:p>
      <w:pPr>
        <w:rPr>
          <w:rFonts w:ascii="仿宋" w:hAnsi="仿宋" w:eastAsia="仿宋" w:cs="仿宋"/>
          <w:color w:val="auto"/>
          <w:highlight w:val="none"/>
        </w:rPr>
      </w:pPr>
    </w:p>
    <w:p>
      <w:pPr>
        <w:rPr>
          <w:rFonts w:ascii="仿宋" w:hAnsi="仿宋" w:eastAsia="仿宋" w:cs="仿宋"/>
          <w:color w:val="auto"/>
          <w:highlight w:val="none"/>
        </w:rPr>
      </w:pPr>
    </w:p>
    <w:p>
      <w:pPr>
        <w:widowControl/>
        <w:jc w:val="left"/>
        <w:rPr>
          <w:rFonts w:ascii="Arial" w:hAnsi="Arial" w:cs="Arial"/>
          <w:color w:val="auto"/>
          <w:sz w:val="32"/>
          <w:highlight w:val="none"/>
        </w:rPr>
      </w:pPr>
      <w:r>
        <w:rPr>
          <w:color w:val="auto"/>
          <w:sz w:val="32"/>
          <w:highlight w:val="none"/>
        </w:rPr>
        <w:br w:type="page" w:clear="all"/>
      </w:r>
    </w:p>
    <w:p>
      <w:pPr>
        <w:pStyle w:val="87"/>
        <w:spacing w:before="0" w:after="0" w:line="520" w:lineRule="exact"/>
        <w:ind w:firstLine="320"/>
        <w:rPr>
          <w:rFonts w:ascii="黑体" w:hAnsi="黑体" w:eastAsia="黑体" w:cs="黑体"/>
          <w:color w:val="auto"/>
          <w:sz w:val="32"/>
          <w:highlight w:val="none"/>
        </w:rPr>
      </w:pPr>
      <w:r>
        <w:rPr>
          <w:rFonts w:hint="eastAsia" w:ascii="黑体" w:hAnsi="黑体" w:eastAsia="黑体" w:cs="黑体"/>
          <w:color w:val="auto"/>
          <w:sz w:val="32"/>
          <w:highlight w:val="none"/>
        </w:rPr>
        <w:t>一、总 则</w:t>
      </w:r>
      <w:bookmarkEnd w:id="53"/>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1、采购方式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本次采购采取竞争性磋商方式。</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2、合格的供应商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2.1合格的供应商必须符合磋商文件第一章《磋商邀请》第二条及供应商须知前附表相关规定，且具备完成本项目的能力，成交后不允许转包。</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3、适用法律</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本次磋商及由磋商产生的合同受中华人民共和国的相关法律、法规制约和保护。</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4、费用</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供应商应自行承担所有参加磋商活动有关的费用。</w:t>
      </w:r>
    </w:p>
    <w:p>
      <w:pPr>
        <w:pStyle w:val="87"/>
        <w:spacing w:before="0" w:after="0" w:line="520" w:lineRule="exact"/>
        <w:ind w:firstLine="320"/>
        <w:rPr>
          <w:rFonts w:ascii="黑体" w:hAnsi="黑体" w:eastAsia="黑体" w:cs="黑体"/>
          <w:color w:val="auto"/>
          <w:sz w:val="32"/>
          <w:highlight w:val="none"/>
        </w:rPr>
      </w:pPr>
      <w:bookmarkStart w:id="54" w:name="_Toc141869963"/>
      <w:r>
        <w:rPr>
          <w:rFonts w:hint="eastAsia" w:ascii="黑体" w:hAnsi="黑体" w:eastAsia="黑体" w:cs="黑体"/>
          <w:color w:val="auto"/>
          <w:sz w:val="32"/>
          <w:highlight w:val="none"/>
        </w:rPr>
        <w:t>二、竞争性磋商文件</w:t>
      </w:r>
      <w:bookmarkEnd w:id="54"/>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5、磋商文件构成</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5.1磋商文件由以下部分组成：</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第一章：磋商邀请；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第二章：供应商须知；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第三章：评审方法与评审标准；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第六章：响应文件格式。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请仔细检查磋商文件是否齐全，如有缺漏请立即与代理机构联系解决。</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6、政府采购政策</w:t>
      </w:r>
    </w:p>
    <w:p>
      <w:pPr>
        <w:spacing w:line="480" w:lineRule="exact"/>
        <w:ind w:firstLine="482"/>
        <w:rPr>
          <w:rFonts w:ascii="Times New Roman" w:hAnsi="Times New Roman" w:cs="仿宋"/>
          <w:color w:val="auto"/>
          <w:sz w:val="24"/>
          <w:highlight w:val="none"/>
          <w:u w:val="single"/>
        </w:rPr>
      </w:pPr>
      <w:r>
        <w:rPr>
          <w:rFonts w:hint="eastAsia" w:ascii="Times New Roman" w:hAnsi="Times New Roman" w:cs="仿宋"/>
          <w:color w:val="auto"/>
          <w:sz w:val="24"/>
          <w:highlight w:val="none"/>
        </w:rPr>
        <w:t>本项目落实的政府采购政策对应序号为</w:t>
      </w:r>
      <w:r>
        <w:rPr>
          <w:rFonts w:hint="eastAsia" w:ascii="Times New Roman" w:hAnsi="Times New Roman" w:cs="仿宋"/>
          <w:color w:val="auto"/>
          <w:sz w:val="24"/>
          <w:highlight w:val="none"/>
          <w:u w:val="single"/>
        </w:rPr>
        <w:t>6.1</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本项目按以下第</w:t>
      </w:r>
      <w:r>
        <w:rPr>
          <w:rFonts w:hint="eastAsia" w:ascii="Times New Roman" w:hAnsi="Times New Roman" w:cs="仿宋"/>
          <w:color w:val="auto"/>
          <w:sz w:val="24"/>
          <w:highlight w:val="none"/>
          <w:u w:val="single"/>
        </w:rPr>
        <w:t>（1）</w:t>
      </w:r>
      <w:r>
        <w:rPr>
          <w:rFonts w:hint="eastAsia" w:ascii="Times New Roman" w:hAnsi="Times New Roman" w:cs="仿宋"/>
          <w:color w:val="auto"/>
          <w:sz w:val="24"/>
          <w:highlight w:val="none"/>
        </w:rPr>
        <w:t>种政策确定本项目落实的中小企业政策：</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扣除，用扣除后的价格参加评审。</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pPr>
        <w:spacing w:line="480" w:lineRule="exact"/>
        <w:ind w:firstLine="480"/>
        <w:rPr>
          <w:rFonts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%）的扣除，用扣除后的价格参加评审。（是否接受联合体以“项目基本情况”相关内容为准，是否允许大中型企业向一家或者多家小微企业分包以“供应商须知前附表”、“采购需求”相关内容为准。）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pPr>
        <w:spacing w:line="480" w:lineRule="exact"/>
        <w:ind w:firstLine="480"/>
        <w:rPr>
          <w:rFonts w:ascii="Times New Roman" w:hAnsi="Times New Roman" w:cs="仿宋"/>
          <w:color w:val="auto"/>
          <w:sz w:val="24"/>
          <w:highlight w:val="none"/>
        </w:rPr>
        <w:sectPr>
          <w:footerReference r:id="rId3" w:type="default"/>
          <w:pgSz w:w="11906" w:h="16838"/>
          <w:pgMar w:top="1440" w:right="1304" w:bottom="1440" w:left="1417" w:header="851" w:footer="992" w:gutter="0"/>
          <w:pgNumType w:start="1"/>
          <w:cols w:space="720" w:num="1"/>
          <w:docGrid w:linePitch="360" w:charSpace="0"/>
        </w:sect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w:t>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产品实施政府优先采购或强制采购。</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6.2.1拟采购的产品属于政府强制采购的节能产品品目清单范围的，供应商须提供国家确定的认证机构出具的、处于有效期之内的节能产品认证证书，否则其响应文件按无效标处理。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6.2.2拟采购的产品属于优先采购的节能环保品目清单范围的，对提供有效节能产品或环境标志产品认证证书的供应商加分。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7、磋商文件的澄清或修改</w:t>
      </w:r>
    </w:p>
    <w:p>
      <w:pPr>
        <w:spacing w:line="480" w:lineRule="exact"/>
        <w:ind w:firstLine="482"/>
        <w:rPr>
          <w:rFonts w:ascii="Times New Roman" w:hAnsi="Times New Roman" w:cs="仿宋"/>
          <w:color w:val="auto"/>
          <w:sz w:val="24"/>
          <w:highlight w:val="none"/>
        </w:rPr>
        <w:sectPr>
          <w:footerReference r:id="rId4" w:type="default"/>
          <w:pgSz w:w="11906" w:h="16838"/>
          <w:pgMar w:top="1440" w:right="1491" w:bottom="1440" w:left="1800" w:header="851" w:footer="992" w:gutter="0"/>
          <w:cols w:space="720" w:num="1"/>
          <w:docGrid w:linePitch="360" w:charSpace="0"/>
        </w:sectPr>
      </w:pPr>
      <w:r>
        <w:rPr>
          <w:rFonts w:hint="eastAsia" w:ascii="Times New Roman" w:hAnsi="Times New Roman" w:cs="仿宋"/>
          <w:color w:val="auto"/>
          <w:sz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商文件的供应商；不足5日的，采购人、采购代理机构应顺延提交首次响应文件截止时间。</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7.2磋商文件的澄清或者修改将在原公告媒体上发布更正公告，澄清、修改文件均作为磋商文件的组成部分，并对供应商具有约束力。</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7.3供应商应及时登录“苏采云”系统获取澄清答疑文件（修改后磋商文件），如供应商未能及时下载澄清和修改后的磋商文件，造成的相关责任由供应商承担。</w:t>
      </w:r>
    </w:p>
    <w:p>
      <w:pPr>
        <w:pStyle w:val="87"/>
        <w:spacing w:before="0" w:after="0" w:line="520" w:lineRule="exact"/>
        <w:ind w:firstLine="320"/>
        <w:rPr>
          <w:rFonts w:ascii="黑体" w:hAnsi="黑体" w:eastAsia="黑体" w:cs="黑体"/>
          <w:color w:val="auto"/>
          <w:sz w:val="32"/>
          <w:highlight w:val="none"/>
        </w:rPr>
      </w:pPr>
      <w:bookmarkStart w:id="55" w:name="_Toc141869964"/>
      <w:r>
        <w:rPr>
          <w:rFonts w:hint="eastAsia" w:ascii="黑体" w:hAnsi="黑体" w:eastAsia="黑体" w:cs="黑体"/>
          <w:color w:val="auto"/>
          <w:sz w:val="32"/>
          <w:highlight w:val="none"/>
        </w:rPr>
        <w:t>三、响应文件的编制</w:t>
      </w:r>
      <w:bookmarkEnd w:id="55"/>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8、响应文件的编制要求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8.1供应商应仔细阅读“磋商文件”的所有内容，保证所提供的全部资料的真实性、完整性及有效性，以使其响应对“磋商文件”作出实质性响应。</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pPr>
        <w:spacing w:line="480" w:lineRule="exact"/>
        <w:ind w:firstLine="482"/>
        <w:rPr>
          <w:rFonts w:ascii="Times New Roman" w:hAnsi="Times New Roman"/>
          <w:color w:val="auto"/>
          <w:sz w:val="24"/>
          <w:highlight w:val="none"/>
        </w:rPr>
      </w:pPr>
      <w:r>
        <w:rPr>
          <w:rFonts w:ascii="Times New Roman" w:hAnsi="Times New Roman"/>
          <w:color w:val="auto"/>
          <w:sz w:val="24"/>
          <w:highlight w:val="none"/>
        </w:rPr>
        <w:t>9、响应文件构成</w:t>
      </w:r>
    </w:p>
    <w:p>
      <w:pPr>
        <w:spacing w:line="480" w:lineRule="exact"/>
        <w:ind w:firstLine="482"/>
        <w:rPr>
          <w:rFonts w:ascii="Times New Roman" w:hAnsi="Times New Roman"/>
          <w:color w:val="auto"/>
          <w:sz w:val="24"/>
          <w:highlight w:val="none"/>
        </w:rPr>
      </w:pPr>
      <w:bookmarkStart w:id="56" w:name="EBd2e6df6607b447c7a4370e6531238d19"/>
      <w:r>
        <w:rPr>
          <w:rFonts w:ascii="Times New Roman" w:hAnsi="Times New Roman"/>
          <w:color w:val="auto"/>
          <w:sz w:val="24"/>
          <w:szCs w:val="21"/>
          <w:highlight w:val="none"/>
        </w:rPr>
        <w:t>9.1响应文件包括资格证明文件、</w:t>
      </w:r>
      <w:r>
        <w:rPr>
          <w:rFonts w:ascii="Times New Roman" w:hAnsi="Times New Roman"/>
          <w:color w:val="auto"/>
          <w:sz w:val="24"/>
          <w:szCs w:val="24"/>
          <w:highlight w:val="none"/>
        </w:rPr>
        <w:t>实质性要求响应及偏离表</w:t>
      </w:r>
      <w:r>
        <w:rPr>
          <w:rFonts w:ascii="Times New Roman" w:hAnsi="Times New Roman"/>
          <w:color w:val="auto"/>
          <w:sz w:val="24"/>
          <w:szCs w:val="21"/>
          <w:highlight w:val="none"/>
        </w:rPr>
        <w:t>、分项报价表、响应及偏离表、磋商</w:t>
      </w:r>
      <w:r>
        <w:rPr>
          <w:rFonts w:hint="eastAsia" w:ascii="Times New Roman" w:hAnsi="Times New Roman"/>
          <w:color w:val="auto"/>
          <w:sz w:val="24"/>
          <w:szCs w:val="21"/>
          <w:highlight w:val="none"/>
        </w:rPr>
        <w:t>申请</w:t>
      </w:r>
      <w:r>
        <w:rPr>
          <w:rFonts w:ascii="Times New Roman" w:hAnsi="Times New Roman"/>
          <w:color w:val="auto"/>
          <w:sz w:val="24"/>
          <w:szCs w:val="21"/>
          <w:highlight w:val="none"/>
        </w:rPr>
        <w:t>函</w:t>
      </w:r>
      <w:r>
        <w:rPr>
          <w:rFonts w:hint="eastAsia" w:ascii="Times New Roman" w:hAnsi="Times New Roman"/>
          <w:color w:val="auto"/>
          <w:sz w:val="24"/>
          <w:szCs w:val="21"/>
          <w:highlight w:val="none"/>
        </w:rPr>
        <w:t>、</w:t>
      </w:r>
      <w:r>
        <w:rPr>
          <w:rFonts w:ascii="Times New Roman" w:hAnsi="Times New Roman"/>
          <w:color w:val="auto"/>
          <w:sz w:val="24"/>
          <w:szCs w:val="21"/>
          <w:highlight w:val="none"/>
        </w:rPr>
        <w:t>其他证明文件等部分。</w:t>
      </w:r>
      <w:r>
        <w:rPr>
          <w:rFonts w:ascii="Times New Roman" w:hAnsi="Times New Roman"/>
          <w:color w:val="auto"/>
          <w:sz w:val="24"/>
          <w:highlight w:val="none"/>
        </w:rPr>
        <w:t>响应文件构成资料为非中文时应提供中文译版。</w:t>
      </w:r>
    </w:p>
    <w:p>
      <w:pPr>
        <w:spacing w:line="480" w:lineRule="exact"/>
        <w:ind w:firstLine="482"/>
        <w:rPr>
          <w:rFonts w:ascii="Times New Roman" w:hAnsi="Times New Roman"/>
          <w:color w:val="auto"/>
          <w:sz w:val="24"/>
          <w:highlight w:val="none"/>
        </w:rPr>
      </w:pPr>
      <w:r>
        <w:rPr>
          <w:rFonts w:ascii="Times New Roman" w:hAnsi="Times New Roman"/>
          <w:color w:val="auto"/>
          <w:sz w:val="24"/>
          <w:highlight w:val="none"/>
        </w:rPr>
        <w:t>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bookmarkEnd w:id="56"/>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10、响应文件的报价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10.1分次报价，供应商响应文件中的报价作为第一次报价，不公开；以最后报价作为价格分计算。</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10.2报价注意事项：报价一律以人民币计算，以元为单位标注，最多保留至小数点后两位，磋商文件有规定的按磋商文件执行。</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11、磋商保证金</w:t>
      </w:r>
    </w:p>
    <w:p>
      <w:pPr>
        <w:spacing w:line="480" w:lineRule="exact"/>
        <w:ind w:firstLine="480"/>
        <w:rPr>
          <w:rFonts w:ascii="Times New Roman" w:hAnsi="Times New Roman" w:cs="仿宋"/>
          <w:color w:val="auto"/>
          <w:sz w:val="24"/>
          <w:highlight w:val="none"/>
        </w:rPr>
      </w:pPr>
      <w:bookmarkStart w:id="57" w:name="EB2c6535ca97b046d89f956e109e785ae2"/>
      <w:r>
        <w:rPr>
          <w:rFonts w:hint="eastAsia" w:ascii="Times New Roman" w:hAnsi="Times New Roman" w:cs="仿宋"/>
          <w:color w:val="auto"/>
          <w:sz w:val="24"/>
          <w:highlight w:val="none"/>
        </w:rPr>
        <w:t>本项目不收取磋商保证金。</w:t>
      </w:r>
      <w:bookmarkEnd w:id="57"/>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12、响应有效期</w:t>
      </w:r>
    </w:p>
    <w:p>
      <w:pPr>
        <w:spacing w:line="480" w:lineRule="exact"/>
        <w:ind w:firstLine="480"/>
        <w:rPr>
          <w:rFonts w:ascii="Times New Roman" w:hAnsi="Times New Roman" w:cs="仿宋"/>
          <w:color w:val="auto"/>
          <w:sz w:val="24"/>
          <w:highlight w:val="none"/>
        </w:rPr>
      </w:pPr>
      <w:bookmarkStart w:id="58" w:name="_Toc141869965"/>
      <w:r>
        <w:rPr>
          <w:rFonts w:hint="eastAsia" w:ascii="Times New Roman" w:hAnsi="Times New Roman" w:cs="仿宋"/>
          <w:color w:val="auto"/>
          <w:sz w:val="24"/>
          <w:highlight w:val="none"/>
        </w:rPr>
        <w:t>12.1在供应商须知前附表规定的响应有效期内，响应有效期从提交响应文件的截止之日起算。响应有效期比规定短的将被视为未实质性响应磋商文件。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12.2</w:t>
      </w:r>
      <w:r>
        <w:rPr>
          <w:rFonts w:hint="eastAsia" w:ascii="宋体" w:hAnsi="宋体"/>
          <w:color w:val="auto"/>
          <w:sz w:val="24"/>
          <w:szCs w:val="21"/>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color w:val="auto"/>
          <w:sz w:val="24"/>
          <w:szCs w:val="21"/>
          <w:highlight w:val="none"/>
        </w:rPr>
        <w:t>。</w:t>
      </w:r>
    </w:p>
    <w:p>
      <w:pPr>
        <w:pStyle w:val="87"/>
        <w:spacing w:before="0" w:after="0" w:line="520" w:lineRule="exact"/>
        <w:ind w:firstLine="320"/>
        <w:rPr>
          <w:rFonts w:ascii="黑体" w:hAnsi="黑体" w:eastAsia="黑体" w:cs="黑体"/>
          <w:color w:val="auto"/>
          <w:sz w:val="32"/>
          <w:highlight w:val="none"/>
        </w:rPr>
      </w:pPr>
      <w:r>
        <w:rPr>
          <w:rFonts w:hint="eastAsia" w:ascii="黑体" w:hAnsi="黑体" w:eastAsia="黑体" w:cs="黑体"/>
          <w:color w:val="auto"/>
          <w:sz w:val="32"/>
          <w:highlight w:val="none"/>
        </w:rPr>
        <w:t>四、响应文件的提交</w:t>
      </w:r>
      <w:bookmarkEnd w:id="58"/>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13、响应文件的提交</w:t>
      </w:r>
    </w:p>
    <w:p>
      <w:pPr>
        <w:widowControl/>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13.1供应商应在磋商文件规定的响应截止时间前提交响应文件。供应商应将电子响应文件上传至“苏采云”系统对应的采购包中。除磋商文件另有规定外，供应商所提交的响应文件不予退还。</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13.2响应文件的修改或撤回：在响应截止时间前，供应商可以撤回或重新提交响应文件。响应文件以最终完成上传的为准。</w:t>
      </w:r>
    </w:p>
    <w:p>
      <w:pPr>
        <w:spacing w:line="480" w:lineRule="exact"/>
        <w:ind w:right="105" w:firstLine="480"/>
        <w:rPr>
          <w:rFonts w:ascii="Times New Roman" w:hAnsi="Times New Roman" w:cs="仿宋"/>
          <w:color w:val="auto"/>
          <w:sz w:val="24"/>
          <w:highlight w:val="none"/>
          <w:u w:val="single"/>
        </w:rPr>
      </w:pPr>
      <w:r>
        <w:rPr>
          <w:rFonts w:hint="eastAsia" w:ascii="Times New Roman" w:hAnsi="Times New Roman" w:cs="仿宋"/>
          <w:color w:val="auto"/>
          <w:sz w:val="24"/>
          <w:highlight w:val="none"/>
        </w:rPr>
        <w:t>13.3采购人、采购代理机构可以通过修改磋商文件酌情延长响应文件接收截止日期，在此情况下，供应商的所有权利和义务以及供应商受制约的截止日期均应以延长后新的截止日期为准。</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14、响应文件被拒绝接收的情形</w:t>
      </w:r>
    </w:p>
    <w:p>
      <w:pPr>
        <w:spacing w:line="480" w:lineRule="exact"/>
        <w:ind w:right="105"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在磋商文件规定的响应截止时间后上传的响应文件。</w:t>
      </w:r>
    </w:p>
    <w:p>
      <w:pPr>
        <w:pStyle w:val="87"/>
        <w:spacing w:before="0" w:after="0" w:line="520" w:lineRule="exact"/>
        <w:ind w:firstLine="320"/>
        <w:rPr>
          <w:rFonts w:ascii="黑体" w:hAnsi="黑体" w:eastAsia="黑体" w:cs="黑体"/>
          <w:color w:val="auto"/>
          <w:sz w:val="32"/>
          <w:highlight w:val="none"/>
        </w:rPr>
      </w:pPr>
      <w:bookmarkStart w:id="59" w:name="_Toc141869967"/>
      <w:r>
        <w:rPr>
          <w:rFonts w:hint="eastAsia" w:ascii="黑体" w:hAnsi="黑体" w:eastAsia="黑体" w:cs="黑体"/>
          <w:color w:val="auto"/>
          <w:sz w:val="32"/>
          <w:highlight w:val="none"/>
        </w:rPr>
        <w:t>五、磋商程序及最后报价</w:t>
      </w:r>
      <w:bookmarkEnd w:id="59"/>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15、磋商会议</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15.1采购代理机构按磋商文件规定的时间、地点组织磋商。供应商应当按照《操作手册》规定，在“苏采云”系统规定的时间内对磋商响应文件进行解密。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15.2供应商用于解密的CA证书应为该响应文件生成加密、上传的同一把CA证书。供应商应登录“苏采云”系统进入“开标大厅”，在系统约定时间内使用CA证书解密，未在成功解密的，视为其放弃磋商。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15.3供应商在磋商全过程中应保持通讯畅通，及时登录“苏采云”系统查阅、答复相关信息。</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16、磋商小组</w:t>
      </w:r>
      <w:bookmarkStart w:id="60" w:name="OLE_LINK3"/>
    </w:p>
    <w:p>
      <w:pPr>
        <w:spacing w:line="480" w:lineRule="exact"/>
        <w:ind w:firstLine="482"/>
        <w:rPr>
          <w:rFonts w:ascii="Times New Roman" w:hAnsi="Times New Roman" w:cs="仿宋"/>
          <w:color w:val="auto"/>
          <w:sz w:val="24"/>
          <w:highlight w:val="none"/>
        </w:rPr>
      </w:pPr>
      <w:r>
        <w:rPr>
          <w:rFonts w:hint="eastAsia" w:ascii="宋体" w:hAnsi="宋体"/>
          <w:color w:val="auto"/>
          <w:sz w:val="24"/>
          <w:szCs w:val="24"/>
          <w:highlight w:val="none"/>
        </w:rPr>
        <w:t>磋商小组由采购人代表和有关技术、经济等方面的专家组成，且人员构成符合政府采购有关规定。</w:t>
      </w:r>
      <w:bookmarkEnd w:id="60"/>
      <w:r>
        <w:rPr>
          <w:rFonts w:hint="eastAsia" w:ascii="Times New Roman" w:hAnsi="Times New Roman" w:cs="仿宋"/>
          <w:color w:val="auto"/>
          <w:sz w:val="24"/>
          <w:highlight w:val="none"/>
        </w:rPr>
        <w:t>磋商小组负责具体评审事务，按客观、公正、审慎的原则独立履行相关职责。</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17、磋商程序</w:t>
      </w:r>
    </w:p>
    <w:p>
      <w:pPr>
        <w:spacing w:line="46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17.1资格审查</w:t>
      </w:r>
    </w:p>
    <w:p>
      <w:pPr>
        <w:spacing w:line="46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由磋商小组依据法律法规和磋商文件的规定，对响应文件中的资格证明文件进行审查，以确定供应商是否具备参加磋商的资格。</w:t>
      </w:r>
    </w:p>
    <w:p>
      <w:pPr>
        <w:spacing w:line="46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信用信息查询：磋商小组查询供应商的信用信息，以确定供应商是否具备磋商资格。查询结果留存并归档。</w:t>
      </w:r>
    </w:p>
    <w:p>
      <w:pPr>
        <w:spacing w:line="48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17.2符合性审查</w:t>
      </w:r>
    </w:p>
    <w:p>
      <w:pPr>
        <w:spacing w:line="48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17.2.1依据磋商文件的规定，由磋商小组从响应文件的有效性、完整性和对磋商文件的响应程度进行审查，以确定是否对磋商文件的实质性要求作出响应。</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4"/>
          <w:highlight w:val="non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pPr>
        <w:spacing w:line="480" w:lineRule="exact"/>
        <w:ind w:firstLine="480"/>
        <w:rPr>
          <w:rFonts w:ascii="Times New Roman" w:hAnsi="Times New Roman"/>
          <w:color w:val="auto"/>
          <w:sz w:val="24"/>
          <w:szCs w:val="24"/>
          <w:highlight w:val="none"/>
        </w:rPr>
      </w:pPr>
      <w:r>
        <w:rPr>
          <w:rFonts w:hint="eastAsia" w:ascii="Times New Roman" w:hAnsi="Times New Roman"/>
          <w:color w:val="auto"/>
          <w:sz w:val="24"/>
          <w:szCs w:val="21"/>
          <w:highlight w:val="none"/>
        </w:rPr>
        <w:t>17.3未通过资格审查或符合性审查的供应商，磋商小组将在</w:t>
      </w:r>
      <w:r>
        <w:rPr>
          <w:rFonts w:hint="eastAsia" w:ascii="Times New Roman" w:hAnsi="Times New Roman"/>
          <w:color w:val="auto"/>
          <w:sz w:val="24"/>
          <w:szCs w:val="24"/>
          <w:highlight w:val="none"/>
        </w:rPr>
        <w:t>“苏采云”系统</w:t>
      </w:r>
      <w:r>
        <w:rPr>
          <w:rFonts w:hint="eastAsia" w:ascii="Times New Roman" w:hAnsi="Times New Roman"/>
          <w:color w:val="auto"/>
          <w:sz w:val="24"/>
          <w:szCs w:val="21"/>
          <w:highlight w:val="none"/>
        </w:rPr>
        <w:t>中告知未通过资格审查或符合性审查的原因，评审结束后，磋商小组将不再告知未通过资格审查或符合性审查的原因。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17.4磋商小组认定响应文件的响应性，仅根据响应文件本身的内容，而不寻求外部的证据。对于未实质性响应的响应文件，供应商不能通过修正或撤销不符之处，而使其成为实质性响应。</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17.5相同品牌产品响应</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17.6磋商</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17.7有关问题的澄清</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olor w:val="auto"/>
          <w:sz w:val="24"/>
          <w:szCs w:val="21"/>
          <w:highlight w:val="none"/>
        </w:rPr>
        <w:t>17.8最后报价</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p>
    <w:p>
      <w:pPr>
        <w:tabs>
          <w:tab w:val="left" w:pos="900"/>
        </w:tabs>
        <w:spacing w:line="480" w:lineRule="exact"/>
        <w:ind w:firstLine="482"/>
        <w:rPr>
          <w:rFonts w:ascii="Times New Roman" w:hAnsi="Times New Roman"/>
          <w:color w:val="auto"/>
          <w:sz w:val="24"/>
          <w:szCs w:val="24"/>
          <w:highlight w:val="none"/>
        </w:rPr>
      </w:pPr>
      <w:r>
        <w:rPr>
          <w:rFonts w:hint="eastAsia" w:ascii="Times New Roman" w:hAnsi="Times New Roman" w:cs="仿宋"/>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p>
    <w:p>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17.8.4磋商报价表中大、小写应一致，如出现不一致情况的，以大写为准。磋商报价表内容与分项报价表内容应一致。如出现不一致情况，以磋商报价表内容为准，修正分项报价表。</w:t>
      </w:r>
    </w:p>
    <w:p>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17.8.5项目评审中，不得去掉最后报价中的最高报价和最低报价。</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17.8.6</w:t>
      </w:r>
      <w:r>
        <w:rPr>
          <w:rFonts w:hint="eastAsia" w:ascii="Times New Roman" w:hAnsi="Times New Roman"/>
          <w:color w:val="auto"/>
          <w:sz w:val="24"/>
          <w:szCs w:val="24"/>
          <w:highlight w:val="none"/>
        </w:rPr>
        <w:t>符合《政府采购竞争性磋商采购方式理暂行办法》第三条第一款第四项及《财政部关于竞争性磋商采购方式管理暂行办法有关问题的补充通知》（财库[2015]124号）规定情形的，提交最后报价的供应商可以为2家。</w:t>
      </w:r>
    </w:p>
    <w:p>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bookmarkStart w:id="62" w:name="_Toc141869966"/>
      <w:r>
        <w:rPr>
          <w:rFonts w:ascii="Times New Roman" w:hAnsi="Times New Roman" w:eastAsia="Times New Roman"/>
          <w:color w:val="auto"/>
          <w:sz w:val="24"/>
          <w:highlight w:val="none"/>
        </w:rPr>
        <w:t>17.</w:t>
      </w:r>
      <w:r>
        <w:rPr>
          <w:rFonts w:hint="eastAsia" w:ascii="Times New Roman" w:hAnsi="Times New Roman"/>
          <w:color w:val="auto"/>
          <w:sz w:val="24"/>
          <w:highlight w:val="none"/>
        </w:rPr>
        <w:t>9</w:t>
      </w:r>
      <w:r>
        <w:rPr>
          <w:rFonts w:ascii="宋体" w:hAnsi="宋体" w:cs="宋体"/>
          <w:color w:val="auto"/>
          <w:sz w:val="24"/>
          <w:highlight w:val="none"/>
        </w:rPr>
        <w:t>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lang w:eastAsia="zh-CN"/>
        </w:rPr>
        <w:t>）</w:t>
      </w:r>
      <w:r>
        <w:rPr>
          <w:rFonts w:ascii="宋体" w:hAnsi="宋体" w:cs="宋体"/>
          <w:color w:val="auto"/>
          <w:sz w:val="24"/>
          <w:highlight w:val="none"/>
        </w:rPr>
        <w:t>审查</w:t>
      </w:r>
    </w:p>
    <w:p>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r>
        <w:rPr>
          <w:rFonts w:ascii="Times New Roman" w:hAnsi="Times New Roman" w:eastAsia="Times New Roman"/>
          <w:color w:val="auto"/>
          <w:sz w:val="24"/>
          <w:highlight w:val="none"/>
        </w:rPr>
        <w:t>17.</w:t>
      </w:r>
      <w:r>
        <w:rPr>
          <w:rFonts w:hint="eastAsia" w:ascii="Times New Roman" w:hAnsi="Times New Roman"/>
          <w:color w:val="auto"/>
          <w:sz w:val="24"/>
          <w:highlight w:val="none"/>
        </w:rPr>
        <w:t>9</w:t>
      </w:r>
      <w:r>
        <w:rPr>
          <w:rFonts w:ascii="Times New Roman" w:hAnsi="Times New Roman" w:eastAsia="Times New Roman"/>
          <w:color w:val="auto"/>
          <w:sz w:val="24"/>
          <w:highlight w:val="none"/>
        </w:rPr>
        <w:t>.1</w:t>
      </w:r>
      <w:r>
        <w:rPr>
          <w:rFonts w:ascii="宋体" w:hAnsi="宋体" w:cs="宋体"/>
          <w:color w:val="auto"/>
          <w:sz w:val="24"/>
          <w:highlight w:val="none"/>
        </w:rPr>
        <w:t>评标过程中出现下列情形之一的，</w:t>
      </w:r>
      <w:r>
        <w:rPr>
          <w:rFonts w:hint="eastAsia" w:ascii="宋体" w:hAnsi="宋体" w:cs="宋体"/>
          <w:color w:val="auto"/>
          <w:sz w:val="24"/>
          <w:highlight w:val="none"/>
          <w:lang w:val="en-US" w:eastAsia="zh-CN"/>
        </w:rPr>
        <w:t>磋商小组</w:t>
      </w:r>
      <w:r>
        <w:rPr>
          <w:rFonts w:ascii="宋体" w:hAnsi="宋体" w:cs="宋体"/>
          <w:color w:val="auto"/>
          <w:sz w:val="24"/>
          <w:highlight w:val="none"/>
        </w:rPr>
        <w:t>应当启动异常低价投标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lang w:eastAsia="zh-CN"/>
        </w:rPr>
        <w:t>）</w:t>
      </w:r>
      <w:r>
        <w:rPr>
          <w:rFonts w:ascii="宋体" w:hAnsi="宋体" w:cs="宋体"/>
          <w:color w:val="auto"/>
          <w:sz w:val="24"/>
          <w:highlight w:val="none"/>
        </w:rPr>
        <w:t>审查程序：</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 </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 </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 </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 </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color w:val="auto"/>
          <w:sz w:val="24"/>
          <w:highlight w:val="none"/>
        </w:rPr>
      </w:pPr>
      <w:r>
        <w:rPr>
          <w:rFonts w:hint="eastAsia" w:ascii="Times New Roman" w:hAnsi="Times New Roman" w:eastAsia="Times New Roman"/>
          <w:color w:val="auto"/>
          <w:sz w:val="24"/>
          <w:highlight w:val="none"/>
          <w:lang w:val="en-US" w:eastAsia="zh-CN"/>
        </w:rPr>
        <w:t>17.10</w:t>
      </w:r>
      <w:r>
        <w:rPr>
          <w:rFonts w:hint="eastAsia" w:ascii="宋体" w:hAnsi="宋体" w:cs="宋体"/>
          <w:color w:val="auto"/>
          <w:sz w:val="24"/>
          <w:highlight w:val="none"/>
        </w:rPr>
        <w:t>推荐成交候选供应商</w:t>
      </w:r>
    </w:p>
    <w:p>
      <w:pPr>
        <w:tabs>
          <w:tab w:val="left" w:pos="900"/>
        </w:tabs>
        <w:spacing w:after="120" w:line="480" w:lineRule="exact"/>
        <w:ind w:firstLine="477"/>
        <w:rPr>
          <w:rFonts w:ascii="Times New Roman" w:hAnsi="Times New Roman" w:cs="仿宋"/>
          <w:color w:val="auto"/>
          <w:sz w:val="24"/>
          <w:highlight w:val="none"/>
        </w:rPr>
      </w:pPr>
      <w:bookmarkStart w:id="63" w:name="OLE_LINK5"/>
      <w:r>
        <w:rPr>
          <w:rFonts w:hint="eastAsia" w:ascii="Times New Roman" w:hAnsi="Times New Roman" w:cs="仿宋"/>
          <w:color w:val="auto"/>
          <w:sz w:val="24"/>
          <w:highlight w:val="none"/>
        </w:rPr>
        <w:t>磋商小组根据综合评分情况，按照评审得分由高到低顺序推荐3名成交候选供应商，并编写评审报告</w:t>
      </w:r>
      <w:bookmarkEnd w:id="63"/>
      <w:r>
        <w:rPr>
          <w:rFonts w:hint="eastAsia" w:ascii="Times New Roman" w:hAnsi="Times New Roman" w:cs="仿宋"/>
          <w:color w:val="auto"/>
          <w:sz w:val="24"/>
          <w:highlight w:val="none"/>
        </w:rPr>
        <w:t>。符合本磋商文件17.8.</w:t>
      </w:r>
      <w:r>
        <w:rPr>
          <w:rFonts w:hint="eastAsia" w:ascii="Times New Roman" w:hAnsi="Times New Roman" w:cs="仿宋"/>
          <w:color w:val="auto"/>
          <w:sz w:val="24"/>
          <w:highlight w:val="none"/>
          <w:lang w:val="en-US" w:eastAsia="zh-CN"/>
        </w:rPr>
        <w:t>6</w:t>
      </w:r>
      <w:r>
        <w:rPr>
          <w:rFonts w:hint="eastAsia" w:ascii="Times New Roman" w:hAnsi="Times New Roman" w:cs="仿宋"/>
          <w:color w:val="auto"/>
          <w:sz w:val="24"/>
          <w:highlight w:val="none"/>
        </w:rPr>
        <w:t>情形的，可以推荐2名成交候选供应商。评审得分相同的，按照最后报价由低到高的顺序推荐。评审得分且最后报价相同的，按照技术指标优劣顺序推荐。</w:t>
      </w:r>
    </w:p>
    <w:p>
      <w:pPr>
        <w:pStyle w:val="87"/>
        <w:spacing w:before="0" w:after="0" w:line="520" w:lineRule="exact"/>
        <w:ind w:firstLine="320"/>
        <w:rPr>
          <w:rFonts w:ascii="黑体" w:hAnsi="黑体" w:eastAsia="黑体" w:cs="黑体"/>
          <w:color w:val="auto"/>
          <w:sz w:val="32"/>
          <w:highlight w:val="none"/>
        </w:rPr>
      </w:pPr>
      <w:r>
        <w:rPr>
          <w:rFonts w:hint="eastAsia" w:ascii="黑体" w:hAnsi="黑体" w:eastAsia="黑体" w:cs="黑体"/>
          <w:color w:val="auto"/>
          <w:sz w:val="32"/>
          <w:highlight w:val="none"/>
        </w:rPr>
        <w:t>六、无效响应、采购活动终止、</w:t>
      </w:r>
      <w:bookmarkEnd w:id="62"/>
      <w:r>
        <w:rPr>
          <w:rFonts w:hint="eastAsia" w:ascii="黑体" w:hAnsi="黑体" w:eastAsia="黑体" w:cs="黑体"/>
          <w:color w:val="auto"/>
          <w:sz w:val="32"/>
          <w:highlight w:val="none"/>
        </w:rPr>
        <w:t>恶意串通及取消成交候选资格情形</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18、无效响应情形</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18.1供应商同一采购包提交两个以上（含两个）不同的响应文件或者最后报价的。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18.2供应商不符合磋商文件规定资格要求的或响应文件未按规定提交资质证件的。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18.3供应商的报价超过了采购预算或最高限价的。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18.4响应文件未通过符合性审查的。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18.5响应文件出现重大偏离，不符合磋商文件中规定的实质性要求的（★部分为实质性要求）。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18.6响应文件未按照磋商文件要求加盖CA电子公章的。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18.7政务信息系统采购中，磋商小组启动异常低价响应审查后，投标（响应）供应商不提供书面说明、证明材料，或者磋商小组认为投标（响应）供应商提供的书面说明、证明材料不能证明其最后报价合理性的。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18.8响应文件含有采购人不能接受的附加条件的。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18.9供应商有本磋商文件规定的恶意串通情形的。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18.10法律、法规规定的其它情况。</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19、采购活动终止情形</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19.1因情况变化，不再符合规定的竞争性磋商采购方式适用情形的；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19.2符合专业条件的供应商或者对磋商文件作实质响应的供应商不足3家的（符合17.8.6情形除外）。</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19.3出现影响采购公正的违法、违规行为的。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19.4因重大变故，采购任务取消的。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19.5磋商小组认定磋商文件存在歧义、重大缺陷导致评审工作无法进行。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19.6在苏采云系统规定时间内成功解密电子响应文件的供应商不足3家的。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20、恶意串通情形</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20.1供应商直接或间接从采购人或采购代理机构处获得其他供应商的相关情况并修改其响应文件；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20.2供应商接受采购人或采购代理机构授意撤换、修改响应文件；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20.3供应商之间协商报价、技术方案等响应文件实质性内容；</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20.4属于同一集团、协会、商会等组织成员的供应商按照该组织要求协同参与政府采购活动的；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20.5供应商之间事先约定由某一特定供应商成交；</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20.6供应商之间商定部分供应商放弃参加政府采购活动或者放弃成交；</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20.7供应商与采购人或采购代理机构之间、供应商相互之间为谋求特定供应商成交或者排斥其他供应商的其他串通行为。</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21、</w:t>
      </w:r>
      <w:bookmarkStart w:id="64" w:name="OLE_LINK2"/>
      <w:r>
        <w:rPr>
          <w:rFonts w:hint="eastAsia" w:ascii="Times New Roman" w:hAnsi="Times New Roman" w:cs="仿宋"/>
          <w:color w:val="auto"/>
          <w:sz w:val="24"/>
          <w:highlight w:val="none"/>
        </w:rPr>
        <w:t>取消成交（候选）供应商资格</w:t>
      </w:r>
      <w:bookmarkEnd w:id="64"/>
      <w:r>
        <w:rPr>
          <w:rFonts w:hint="eastAsia" w:ascii="Times New Roman" w:hAnsi="Times New Roman" w:cs="仿宋"/>
          <w:color w:val="auto"/>
          <w:sz w:val="24"/>
          <w:highlight w:val="none"/>
        </w:rPr>
        <w:t>条款</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21.1提供虚假材料谋取成交的；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21.2采取不正当手段诋毁、排挤其他供应商的；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21.3与采购人、其他供应商或者采购代理机构恶意串通的；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21.4向采购人、采购代理机构行贿或者提供其他不正当利益的；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21.5未在规定时间内与采购人签订采购合同的；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21.6法律、法规规定的其它情况。</w:t>
      </w:r>
    </w:p>
    <w:p>
      <w:pPr>
        <w:pStyle w:val="87"/>
        <w:spacing w:before="0" w:after="0" w:line="520" w:lineRule="exact"/>
        <w:ind w:firstLine="320"/>
        <w:rPr>
          <w:rFonts w:ascii="黑体" w:hAnsi="黑体" w:eastAsia="黑体" w:cs="黑体"/>
          <w:color w:val="auto"/>
          <w:sz w:val="32"/>
          <w:highlight w:val="none"/>
        </w:rPr>
      </w:pPr>
      <w:bookmarkStart w:id="65" w:name="_Toc141869968"/>
      <w:r>
        <w:rPr>
          <w:rFonts w:hint="eastAsia" w:ascii="黑体" w:hAnsi="黑体" w:eastAsia="黑体" w:cs="黑体"/>
          <w:color w:val="auto"/>
          <w:sz w:val="32"/>
          <w:highlight w:val="none"/>
        </w:rPr>
        <w:t>七、成交及合同签订</w:t>
      </w:r>
      <w:bookmarkEnd w:id="65"/>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22、确定成交供应商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22.1采购人应当在收到评审报告后5个工作日内，从评审报告提出的成交候选供应商中，按照排序由高到低的原则确定成交供应商。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22.2在成交供应商确定后2个工作日内，采购人或采购代理机构将在财政部门指定信息媒体上发布成交结果，成交公告的公告期限为1个工作日。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22.3采购人确定正被列为失信被执行人的供应商为成交人的，成交结果无效。</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23、成交通知书</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23.1在公告成交结果的同时，采购代理机构向成交供应商发出成交通知书。成交供应商使用CA数字证书登录“苏采云”系统及时下载成交通知书。</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23.2</w:t>
      </w:r>
      <w:r>
        <w:rPr>
          <w:rFonts w:hint="eastAsia" w:ascii="宋体" w:hAnsi="宋体"/>
          <w:color w:val="auto"/>
          <w:sz w:val="24"/>
          <w:szCs w:val="24"/>
          <w:highlight w:val="none"/>
        </w:rPr>
        <w:t>成交通知书发出后，采购人改变成交结果的或者成交供应商放弃成交项目的，应当依法承担法律责任。</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24、签订和公告合同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24.1采购人与成交供应商应当在成交通知书发出之日起15日内</w:t>
      </w:r>
      <w:r>
        <w:rPr>
          <w:rFonts w:hint="eastAsia" w:ascii="宋体" w:hAnsi="宋体"/>
          <w:color w:val="auto"/>
          <w:sz w:val="24"/>
          <w:szCs w:val="24"/>
          <w:highlight w:val="none"/>
        </w:rPr>
        <w:t>，按照磋商文件确定的事项与采购人签订政府采购合同。</w:t>
      </w:r>
      <w:r>
        <w:rPr>
          <w:rFonts w:hint="eastAsia" w:ascii="Times New Roman" w:hAnsi="Times New Roman" w:cs="仿宋"/>
          <w:color w:val="auto"/>
          <w:sz w:val="24"/>
          <w:highlight w:val="none"/>
        </w:rPr>
        <w:t>竞争性磋商文件、成交供应商的响应文件以及磋商过程中有关澄清文件均作为合同附件。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24.3采购人在自合同签订之日起2个工作日内，将合同在指定的媒体上公告。</w:t>
      </w:r>
    </w:p>
    <w:p>
      <w:pPr>
        <w:spacing w:line="480" w:lineRule="exact"/>
        <w:ind w:firstLine="482"/>
        <w:rPr>
          <w:rFonts w:ascii="Times New Roman" w:hAnsi="Times New Roman" w:cs="仿宋"/>
          <w:color w:val="auto"/>
          <w:sz w:val="24"/>
          <w:highlight w:val="none"/>
        </w:rPr>
      </w:pPr>
      <w:bookmarkStart w:id="66" w:name="_Toc141869969"/>
      <w:r>
        <w:rPr>
          <w:rFonts w:hint="eastAsia" w:ascii="Times New Roman" w:hAnsi="Times New Roman" w:cs="仿宋"/>
          <w:color w:val="auto"/>
          <w:sz w:val="24"/>
          <w:highlight w:val="none"/>
        </w:rPr>
        <w:t>25、履约保证金</w:t>
      </w:r>
    </w:p>
    <w:p>
      <w:pPr>
        <w:spacing w:line="480" w:lineRule="exact"/>
        <w:ind w:firstLine="480"/>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（1）</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25.1履约保证金提交形式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25.2履约保证金提交金额</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按采购合同总价的</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rPr>
        <w:t>%提交。</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w:t>
      </w:r>
      <w:r>
        <w:rPr>
          <w:rFonts w:hint="eastAsia" w:ascii="Times New Roman" w:hAnsi="Times New Roman" w:cs="仿宋"/>
          <w:color w:val="auto"/>
          <w:sz w:val="24"/>
          <w:highlight w:val="none"/>
        </w:rPr>
        <w:t>% （</w:t>
      </w:r>
      <w:bookmarkStart w:id="67" w:name="_Hlk187763955"/>
      <w:r>
        <w:rPr>
          <w:rFonts w:hint="eastAsia" w:ascii="Times New Roman" w:hAnsi="Times New Roman" w:cs="仿宋"/>
          <w:color w:val="auto"/>
          <w:sz w:val="24"/>
          <w:highlight w:val="none"/>
        </w:rPr>
        <w:t>履约保证金原提交金额的6折</w:t>
      </w:r>
      <w:bookmarkEnd w:id="67"/>
      <w:r>
        <w:rPr>
          <w:rFonts w:hint="eastAsia" w:ascii="Times New Roman" w:hAnsi="Times New Roman" w:cs="仿宋"/>
          <w:color w:val="auto"/>
          <w:sz w:val="24"/>
          <w:highlight w:val="none"/>
        </w:rPr>
        <w:t>）提交。</w:t>
      </w:r>
      <w:bookmarkStart w:id="68" w:name="_Hlk187842952"/>
      <w:r>
        <w:rPr>
          <w:rFonts w:hint="eastAsia" w:ascii="Times New Roman" w:hAnsi="Times New Roman" w:cs="仿宋"/>
          <w:color w:val="auto"/>
          <w:sz w:val="24"/>
          <w:highlight w:val="none"/>
        </w:rPr>
        <w:t>办理流程、偿付等内容见江苏政府采购网“保险保函”模块。</w:t>
      </w:r>
      <w:bookmarkEnd w:id="68"/>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25.3履约保证金退还方式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以银行电汇、网上银行、数字人民币形式缴纳履约保证金的，退回至成交供应商存款账户或数字人民币账户；以保函、担保、保险等形式缴纳履约保证金的，在保函、担保、保险约定的保证期限届满之日起自行失效。</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25.4履约保证金退还条件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具有验收合格相关证明材料。</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25.5履约保证金退还时间</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采购人收到成交供应商退付申请后5个工作日内退还。</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25.6履约保证金不予退还情形</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除不可抗力外，成交供应商不履行与采购人订立的采购合同的，履约保证金不予退还，给采购人造成的损失超过履约保证金数额的，还应对超过部分予以赔偿。</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25.7逾期退还履约保证金违约责任</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采购人逾期退还履约保证金的，除应退还履约保证金外，还应按中国人民银行同期贷款基准利率上浮20％后的利率支付超期资金占用费，但因成交供应商自身原因导致无法及时退还的除外。</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highlight w:val="none"/>
        </w:rPr>
        <w:t>26、线上融资</w:t>
      </w:r>
    </w:p>
    <w:p>
      <w:pPr>
        <w:spacing w:line="480" w:lineRule="exact"/>
        <w:ind w:firstLine="480"/>
        <w:rPr>
          <w:rFonts w:ascii="Times New Roman" w:hAnsi="Times New Roman" w:cs="仿宋"/>
          <w:color w:val="auto"/>
          <w:sz w:val="24"/>
          <w:szCs w:val="24"/>
          <w:highlight w:val="none"/>
        </w:rPr>
      </w:pPr>
      <w:r>
        <w:rPr>
          <w:rFonts w:hint="eastAsia" w:ascii="宋体" w:hAnsi="宋体"/>
          <w:color w:val="auto"/>
          <w:sz w:val="24"/>
          <w:szCs w:val="24"/>
          <w:highlight w:val="none"/>
        </w:rPr>
        <w:t>成交供应商可凭政府采购合同办理融资贷款，详情见江苏政府采购网“政采贷”专栏。</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27、合同履行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27.1政府采购合同订立后，合同各方不得擅自变更、中止或者终止合同。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p>
    <w:p>
      <w:pPr>
        <w:pStyle w:val="87"/>
        <w:spacing w:before="0" w:after="0" w:line="520" w:lineRule="exact"/>
        <w:ind w:firstLine="320"/>
        <w:rPr>
          <w:rFonts w:ascii="黑体" w:hAnsi="黑体" w:eastAsia="黑体" w:cs="黑体"/>
          <w:color w:val="auto"/>
          <w:sz w:val="32"/>
          <w:highlight w:val="none"/>
        </w:rPr>
      </w:pPr>
      <w:bookmarkStart w:id="69" w:name="_Toc141869970"/>
      <w:r>
        <w:rPr>
          <w:rFonts w:hint="eastAsia" w:ascii="黑体" w:hAnsi="黑体" w:eastAsia="黑体" w:cs="黑体"/>
          <w:color w:val="auto"/>
          <w:sz w:val="32"/>
          <w:highlight w:val="none"/>
        </w:rPr>
        <w:t>八、质疑与投诉</w:t>
      </w:r>
      <w:bookmarkEnd w:id="69"/>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28、质疑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28.1供应商认为采购文件、采购过程和中标结果使自己的权益受到损害的，可以在知道或者应知其权益受到损害之日起七个工作日内，通过 CA 数字证书登录“苏采云”系统，从“项目质疑申请”模块向采购人提出质疑。质疑联系部门、联系电话、通讯地址详见采购公告。</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28.2供应商应知其权益受到损害之日，是指：</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（3）对本项目中标或者成交结果提出质疑的，为中标或者成交结果公告期限届满之日。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28.4供应商提出质疑应当提交质疑函和必要的证明材料。质疑函的必备内容：</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（5）事实依据；</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（8）供应商为自然人的，由本人签字；供应商为法人或者其他组织的，应当由法定代表人、主要负责人，或者其授权代表签字或者盖章，并盖公章。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28.5采购人、采购代理机构在收到质疑函后7个工作日内作出答复，并以书面形式通知质疑供应商和其他有关供应商，但质疑答复的内容不涉及商业秘密。</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29、投诉</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质疑供应商对采购人、采购代理机构的答复不满意，或者采购人、采购代理机构未在规定时间内作出答复的，可以在答复期满后15个工作日内向同级财政部门提起投诉。</w:t>
      </w:r>
    </w:p>
    <w:p>
      <w:pPr>
        <w:rPr>
          <w:rFonts w:ascii="仿宋" w:hAnsi="仿宋" w:eastAsia="仿宋" w:cs="仿宋"/>
          <w:color w:val="auto"/>
          <w:highlight w:val="none"/>
        </w:rPr>
      </w:pPr>
      <w:r>
        <w:rPr>
          <w:rFonts w:hint="eastAsia" w:ascii="仿宋" w:hAnsi="仿宋" w:eastAsia="仿宋" w:cs="仿宋"/>
          <w:color w:val="auto"/>
          <w:highlight w:val="none"/>
        </w:rPr>
        <w:br w:type="page" w:clear="all"/>
      </w:r>
    </w:p>
    <w:p>
      <w:pPr>
        <w:pStyle w:val="86"/>
        <w:spacing w:before="200"/>
        <w:jc w:val="center"/>
        <w:rPr>
          <w:rFonts w:ascii="Times New Roman" w:hAnsi="Times New Roman" w:eastAsia="黑体"/>
          <w:color w:val="auto"/>
          <w:sz w:val="44"/>
          <w:highlight w:val="none"/>
        </w:rPr>
      </w:pPr>
      <w:bookmarkStart w:id="70" w:name="_Toc141869971"/>
      <w:bookmarkStart w:id="71" w:name="_Toc3418"/>
      <w:bookmarkStart w:id="72" w:name="_Toc14692"/>
      <w:bookmarkStart w:id="73" w:name="_Toc5506"/>
      <w:r>
        <w:rPr>
          <w:rFonts w:hint="eastAsia" w:ascii="Times New Roman" w:hAnsi="Times New Roman" w:eastAsia="黑体"/>
          <w:color w:val="auto"/>
          <w:sz w:val="44"/>
          <w:highlight w:val="none"/>
        </w:rPr>
        <w:t xml:space="preserve">第三章  </w:t>
      </w:r>
      <w:bookmarkEnd w:id="70"/>
      <w:bookmarkEnd w:id="71"/>
      <w:bookmarkEnd w:id="72"/>
      <w:r>
        <w:rPr>
          <w:rFonts w:hint="eastAsia" w:ascii="Times New Roman" w:hAnsi="Times New Roman" w:eastAsia="黑体"/>
          <w:color w:val="auto"/>
          <w:sz w:val="44"/>
          <w:highlight w:val="none"/>
        </w:rPr>
        <w:t>评审方法与评审标准</w:t>
      </w:r>
      <w:bookmarkEnd w:id="73"/>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一、资格审查</w:t>
      </w:r>
    </w:p>
    <w:p>
      <w:pPr>
        <w:spacing w:line="480" w:lineRule="exact"/>
        <w:ind w:firstLine="480"/>
        <w:jc w:val="left"/>
        <w:rPr>
          <w:rFonts w:ascii="Times New Roman" w:hAnsi="Times New Roman" w:cs="仿宋"/>
          <w:color w:val="auto"/>
          <w:sz w:val="24"/>
          <w:highlight w:val="none"/>
        </w:rPr>
      </w:pPr>
      <w:r>
        <w:rPr>
          <w:rFonts w:hint="eastAsia"/>
          <w:color w:val="auto"/>
          <w:sz w:val="24"/>
          <w:szCs w:val="28"/>
          <w:highlight w:val="none"/>
        </w:rPr>
        <w:t>资格审查人员按照下列指标对各供应商的资格进行审查，未通过审查的为无效标，不参与评审。</w:t>
      </w:r>
    </w:p>
    <w:tbl>
      <w:tblPr>
        <w:tblStyle w:val="3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资格审查因素</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审查标准</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磋商声明及承诺函</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cs="仿宋"/>
                <w:color w:val="auto"/>
                <w:sz w:val="24"/>
                <w:szCs w:val="24"/>
                <w:highlight w:val="none"/>
              </w:rPr>
              <w:t>落实政府采购政策需满足的资格要求</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bl>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二、符合性审查</w:t>
      </w:r>
    </w:p>
    <w:p>
      <w:pPr>
        <w:spacing w:line="480" w:lineRule="exact"/>
        <w:ind w:firstLine="480"/>
        <w:jc w:val="left"/>
        <w:rPr>
          <w:rFonts w:ascii="方正仿宋_GBK" w:eastAsia="方正仿宋_GBK"/>
          <w:color w:val="auto"/>
          <w:sz w:val="24"/>
          <w:highlight w:val="none"/>
        </w:rPr>
      </w:pPr>
      <w:r>
        <w:rPr>
          <w:rFonts w:hint="eastAsia"/>
          <w:color w:val="auto"/>
          <w:sz w:val="24"/>
          <w:szCs w:val="28"/>
          <w:highlight w:val="none"/>
        </w:rPr>
        <w:t>磋商小组对符合资格的供应商的响应文件进行符合性审查，未通过审查的为无效标，不再参与评审。</w:t>
      </w:r>
    </w:p>
    <w:tbl>
      <w:tblPr>
        <w:tblStyle w:val="3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符合性审查因素</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审查标准</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法人授权书</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磋商报价表及分项报价表</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人员配备要求承诺函</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符合磋商文件要求</w:t>
            </w:r>
          </w:p>
        </w:tc>
      </w:tr>
    </w:tbl>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三</w:t>
      </w:r>
      <w:r>
        <w:rPr>
          <w:rFonts w:ascii="Times New Roman" w:hAnsi="Times New Roman" w:cs="仿宋"/>
          <w:color w:val="auto"/>
          <w:sz w:val="24"/>
          <w:highlight w:val="none"/>
        </w:rPr>
        <w:t>、</w:t>
      </w:r>
      <w:r>
        <w:rPr>
          <w:rFonts w:hint="eastAsia" w:ascii="Times New Roman" w:hAnsi="Times New Roman" w:cs="仿宋"/>
          <w:color w:val="auto"/>
          <w:sz w:val="24"/>
          <w:highlight w:val="none"/>
        </w:rPr>
        <w:t>评审方法</w:t>
      </w:r>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采用综合评分法，按响应文件满足磋商文件全部实质性要求且按评审因素的量化指标评审得分最高的供应商为成交候选供应商的评审方法。</w:t>
      </w:r>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磋商小组根据综合评分情况，按照评审得分由高到低顺序推荐成交候选供应商，并编写评审报告。</w:t>
      </w:r>
    </w:p>
    <w:p>
      <w:pPr>
        <w:spacing w:line="480" w:lineRule="exact"/>
        <w:ind w:firstLine="482"/>
        <w:jc w:val="left"/>
        <w:rPr>
          <w:rFonts w:ascii="Times New Roman" w:hAnsi="Times New Roman" w:cs="仿宋"/>
          <w:color w:val="auto"/>
          <w:sz w:val="24"/>
          <w:highlight w:val="none"/>
        </w:rPr>
      </w:pPr>
      <w:bookmarkStart w:id="74" w:name="EB1a5d8b2c3833482f95a1f101c76adb9d"/>
      <w:r>
        <w:rPr>
          <w:rFonts w:hint="eastAsia" w:ascii="Times New Roman" w:hAnsi="Times New Roman" w:cs="仿宋"/>
          <w:color w:val="auto"/>
          <w:sz w:val="24"/>
          <w:highlight w:val="none"/>
        </w:rPr>
        <w:t>四</w:t>
      </w:r>
      <w:r>
        <w:rPr>
          <w:rFonts w:ascii="Times New Roman" w:hAnsi="Times New Roman" w:cs="仿宋"/>
          <w:color w:val="auto"/>
          <w:sz w:val="24"/>
          <w:highlight w:val="none"/>
        </w:rPr>
        <w:t>、</w:t>
      </w:r>
      <w:bookmarkEnd w:id="74"/>
      <w:r>
        <w:rPr>
          <w:rFonts w:hint="eastAsia" w:ascii="Times New Roman" w:hAnsi="Times New Roman" w:cs="仿宋"/>
          <w:color w:val="auto"/>
          <w:sz w:val="24"/>
          <w:highlight w:val="none"/>
        </w:rPr>
        <w:t>评审标准</w:t>
      </w:r>
    </w:p>
    <w:tbl>
      <w:tblPr>
        <w:tblStyle w:val="37"/>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112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273" w:type="dxa"/>
            <w:vAlign w:val="center"/>
          </w:tcPr>
          <w:p>
            <w:pPr>
              <w:widowControl/>
              <w:spacing w:line="400" w:lineRule="exact"/>
              <w:jc w:val="center"/>
              <w:rPr>
                <w:rFonts w:ascii="Times New Roman" w:hAnsi="Times New Roman" w:cs="宋体"/>
                <w:color w:val="auto"/>
                <w:sz w:val="24"/>
                <w:szCs w:val="24"/>
                <w:highlight w:val="none"/>
              </w:rPr>
            </w:pPr>
            <w:bookmarkStart w:id="75" w:name="EBd5bea3a3c3254523b93c8abaa514fb10"/>
            <w:bookmarkEnd w:id="75"/>
            <w:bookmarkStart w:id="76" w:name="RANGE!A1"/>
            <w:bookmarkStart w:id="77" w:name="_Toc81575168"/>
            <w:bookmarkStart w:id="78" w:name="_Toc81575205"/>
            <w:bookmarkStart w:id="79" w:name="_Toc29751"/>
            <w:r>
              <w:rPr>
                <w:rFonts w:hint="eastAsia" w:ascii="Times New Roman" w:hAnsi="Times New Roman" w:cs="宋体"/>
                <w:color w:val="auto"/>
                <w:sz w:val="24"/>
                <w:szCs w:val="24"/>
                <w:highlight w:val="none"/>
              </w:rPr>
              <w:t>评审因素</w:t>
            </w:r>
            <w:bookmarkEnd w:id="76"/>
          </w:p>
        </w:tc>
        <w:tc>
          <w:tcPr>
            <w:tcW w:w="1125" w:type="dxa"/>
            <w:vAlign w:val="center"/>
          </w:tcPr>
          <w:p>
            <w:pPr>
              <w:widowControl/>
              <w:spacing w:line="400" w:lineRule="exact"/>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分数</w:t>
            </w:r>
          </w:p>
        </w:tc>
        <w:tc>
          <w:tcPr>
            <w:tcW w:w="6750" w:type="dxa"/>
            <w:vAlign w:val="center"/>
          </w:tcPr>
          <w:p>
            <w:pPr>
              <w:widowControl/>
              <w:spacing w:line="400" w:lineRule="exact"/>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磋商报价</w:t>
            </w:r>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30</w:t>
            </w:r>
            <w:r>
              <w:rPr>
                <w:rFonts w:hint="eastAsia" w:ascii="Times New Roman" w:hAnsi="Times New Roman" w:cs="宋体"/>
                <w:color w:val="auto"/>
                <w:sz w:val="24"/>
                <w:szCs w:val="24"/>
                <w:highlight w:val="none"/>
              </w:rPr>
              <w:t>.00分</w:t>
            </w:r>
          </w:p>
        </w:tc>
        <w:tc>
          <w:tcPr>
            <w:tcW w:w="6750" w:type="dxa"/>
            <w:vAlign w:val="center"/>
          </w:tcPr>
          <w:p>
            <w:pPr>
              <w:widowControl/>
              <w:spacing w:line="400" w:lineRule="exact"/>
              <w:jc w:val="left"/>
              <w:rPr>
                <w:rFonts w:hint="eastAsia" w:ascii="Times New Roman" w:hAnsi="Times New Roman" w:eastAsia="宋体" w:cs="宋体"/>
                <w:color w:val="auto"/>
                <w:sz w:val="24"/>
                <w:szCs w:val="24"/>
                <w:highlight w:val="none"/>
                <w:lang w:val="en-US" w:eastAsia="zh-CN"/>
              </w:rPr>
            </w:pPr>
            <w:bookmarkStart w:id="80" w:name="OLE_LINK9"/>
            <w:r>
              <w:rPr>
                <w:rFonts w:hint="eastAsia" w:ascii="Times New Roman" w:hAnsi="Times New Roman" w:cs="宋体"/>
                <w:color w:val="auto"/>
                <w:sz w:val="24"/>
                <w:szCs w:val="24"/>
                <w:highlight w:val="none"/>
              </w:rPr>
              <w:t>采用低价优先法计算，即满足磋商文件要求且最后报价最低的供应商的价格为磋商基准价，其价格分为满分。其他供应商磋商报价得分=（磋商基准价/最后磋商报价）×</w:t>
            </w:r>
            <w:r>
              <w:rPr>
                <w:rFonts w:hint="eastAsia" w:ascii="Times New Roman" w:hAnsi="Times New Roman" w:cs="宋体"/>
                <w:color w:val="auto"/>
                <w:sz w:val="24"/>
                <w:szCs w:val="24"/>
                <w:highlight w:val="none"/>
                <w:lang w:val="en-US" w:eastAsia="zh-CN"/>
              </w:rPr>
              <w:t>30</w:t>
            </w:r>
            <w:r>
              <w:rPr>
                <w:rFonts w:hint="eastAsia" w:ascii="Times New Roman" w:hAnsi="Times New Roman" w:cs="宋体"/>
                <w:color w:val="auto"/>
                <w:sz w:val="24"/>
                <w:szCs w:val="24"/>
                <w:highlight w:val="none"/>
              </w:rPr>
              <w:t>。</w:t>
            </w:r>
            <w:r>
              <w:rPr>
                <w:rFonts w:hint="eastAsia" w:ascii="Times New Roman" w:hAnsi="Times New Roman" w:cs="宋体"/>
                <w:color w:val="auto"/>
                <w:sz w:val="24"/>
                <w:szCs w:val="24"/>
                <w:highlight w:val="none"/>
                <w:lang w:val="en-US" w:eastAsia="zh-CN"/>
              </w:rPr>
              <w:t>注：磋商小组认为供应商的报价明显低于其他通过符合性审查供应商的报价，有可能影响服务质量或者不能诚信履约的，且供应商不能在评标现场合理的时间内证明其报价合理性的，属于恶意竞争情形，磋商小组有权将其作为无效投标处理。</w:t>
            </w:r>
            <w:bookmark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bookmarkStart w:id="81" w:name="OLE_LINK18"/>
            <w:r>
              <w:rPr>
                <w:rFonts w:hint="eastAsia" w:ascii="Times New Roman" w:hAnsi="Times New Roman" w:cs="宋体"/>
                <w:color w:val="auto"/>
                <w:sz w:val="24"/>
                <w:szCs w:val="24"/>
                <w:highlight w:val="none"/>
              </w:rPr>
              <w:t>服务要求承诺（一）及相关服务方案</w:t>
            </w:r>
            <w:bookmarkEnd w:id="81"/>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82" w:name="OLE_LINK19"/>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承诺</w:t>
            </w:r>
            <w:r>
              <w:rPr>
                <w:rFonts w:hint="eastAsia" w:ascii="Times New Roman" w:hAnsi="Times New Roman" w:cs="宋体"/>
                <w:color w:val="auto"/>
                <w:sz w:val="24"/>
                <w:szCs w:val="24"/>
                <w:highlight w:val="none"/>
                <w:lang w:eastAsia="zh-CN"/>
              </w:rPr>
              <w:t>中标（成交）后</w:t>
            </w:r>
            <w:r>
              <w:rPr>
                <w:rFonts w:hint="eastAsia" w:ascii="Times New Roman" w:hAnsi="Times New Roman" w:cs="宋体"/>
                <w:color w:val="auto"/>
                <w:sz w:val="24"/>
                <w:szCs w:val="24"/>
                <w:highlight w:val="none"/>
              </w:rPr>
              <w:t>按照“第四部分、采购需求-三、服务标准与要求-3.1基本服务”标准服务的，得</w:t>
            </w:r>
            <w:r>
              <w:rPr>
                <w:rFonts w:hint="eastAsia" w:ascii="Times New Roman" w:hAnsi="Times New Roman" w:cs="宋体"/>
                <w:color w:val="auto"/>
                <w:sz w:val="24"/>
                <w:szCs w:val="24"/>
                <w:highlight w:val="none"/>
                <w:lang w:val="en-US" w:eastAsia="zh-CN"/>
              </w:rPr>
              <w:t>3</w:t>
            </w:r>
            <w:r>
              <w:rPr>
                <w:rFonts w:hint="eastAsia" w:ascii="Times New Roman" w:hAnsi="Times New Roman" w:cs="宋体"/>
                <w:color w:val="auto"/>
                <w:sz w:val="24"/>
                <w:szCs w:val="24"/>
                <w:highlight w:val="none"/>
              </w:rPr>
              <w:t>分。注：响应文件中需提供加盖本单位公章的承诺函电子件，格式见采购文件“第六章”，未提供不得分。2、</w:t>
            </w:r>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对基本服务的采购需求内容，自行提供上述服务方案，服务方案全部优于采购需求的，得2分；未提供不得分。</w:t>
            </w:r>
            <w:bookmarkEnd w:id="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服务要求承诺（二）及相关服务方案</w:t>
            </w:r>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10.00分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83" w:name="OLE_LINK20"/>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承诺</w:t>
            </w:r>
            <w:r>
              <w:rPr>
                <w:rFonts w:hint="eastAsia" w:ascii="Times New Roman" w:hAnsi="Times New Roman" w:cs="宋体"/>
                <w:color w:val="auto"/>
                <w:sz w:val="24"/>
                <w:szCs w:val="24"/>
                <w:highlight w:val="none"/>
                <w:lang w:eastAsia="zh-CN"/>
              </w:rPr>
              <w:t>中标（成交）后</w:t>
            </w:r>
            <w:r>
              <w:rPr>
                <w:rFonts w:hint="eastAsia" w:ascii="Times New Roman" w:hAnsi="Times New Roman" w:cs="宋体"/>
                <w:color w:val="auto"/>
                <w:sz w:val="24"/>
                <w:szCs w:val="24"/>
                <w:highlight w:val="none"/>
              </w:rPr>
              <w:t>按照“第四部分、采购需求-三、服务标准与要求-3.2绿化管养服务</w:t>
            </w:r>
            <w:r>
              <w:rPr>
                <w:rFonts w:hint="eastAsia" w:ascii="Times New Roman" w:hAnsi="Times New Roman" w:cs="宋体"/>
                <w:color w:val="auto"/>
                <w:sz w:val="24"/>
                <w:szCs w:val="24"/>
                <w:highlight w:val="none"/>
                <w:lang w:val="en-US" w:eastAsia="zh-CN"/>
              </w:rPr>
              <w:t>和</w:t>
            </w:r>
            <w:r>
              <w:rPr>
                <w:rFonts w:hint="eastAsia" w:ascii="Times New Roman" w:hAnsi="Times New Roman" w:cs="宋体"/>
                <w:color w:val="auto"/>
                <w:sz w:val="24"/>
                <w:szCs w:val="24"/>
                <w:highlight w:val="none"/>
              </w:rPr>
              <w:t>3.3保洁服务”的标准服务的，得8分。注：响应文件中需提供加盖本单位公章的承诺函电子件，格式见采购文件“第六章”，未提供不得分。2、</w:t>
            </w:r>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对绿化管养服务、保洁服务的采购需求内容，自行提供上述服务方案，服务方案全部优于采购需求的，得2分；未提供不得分。</w:t>
            </w:r>
            <w:bookmarkEnd w:id="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1273" w:type="dxa"/>
            <w:vAlign w:val="center"/>
          </w:tcPr>
          <w:p>
            <w:pPr>
              <w:widowControl/>
              <w:spacing w:line="400" w:lineRule="exact"/>
              <w:jc w:val="left"/>
              <w:rPr>
                <w:rFonts w:hint="eastAsia" w:ascii="Times New Roman" w:hAnsi="Times New Roman" w:cs="宋体"/>
                <w:color w:val="auto"/>
                <w:sz w:val="24"/>
                <w:szCs w:val="24"/>
                <w:highlight w:val="none"/>
              </w:rPr>
            </w:pPr>
            <w:bookmarkStart w:id="84" w:name="OLE_LINK21"/>
            <w:r>
              <w:rPr>
                <w:rFonts w:hint="eastAsia" w:ascii="Times New Roman" w:hAnsi="Times New Roman" w:cs="宋体"/>
                <w:color w:val="auto"/>
                <w:sz w:val="24"/>
                <w:szCs w:val="24"/>
                <w:highlight w:val="none"/>
              </w:rPr>
              <w:t>服务要求承诺（</w:t>
            </w:r>
            <w:r>
              <w:rPr>
                <w:rFonts w:hint="eastAsia" w:ascii="Times New Roman" w:hAnsi="Times New Roman" w:cs="宋体"/>
                <w:color w:val="auto"/>
                <w:sz w:val="24"/>
                <w:szCs w:val="24"/>
                <w:highlight w:val="none"/>
                <w:lang w:val="en-US" w:eastAsia="zh-CN"/>
              </w:rPr>
              <w:t>三</w:t>
            </w:r>
            <w:r>
              <w:rPr>
                <w:rFonts w:hint="eastAsia" w:ascii="Times New Roman" w:hAnsi="Times New Roman" w:cs="宋体"/>
                <w:color w:val="auto"/>
                <w:sz w:val="24"/>
                <w:szCs w:val="24"/>
                <w:highlight w:val="none"/>
              </w:rPr>
              <w:t>）及相关服务方案</w:t>
            </w:r>
            <w:bookmarkEnd w:id="84"/>
          </w:p>
        </w:tc>
        <w:tc>
          <w:tcPr>
            <w:tcW w:w="1125" w:type="dxa"/>
            <w:vAlign w:val="center"/>
          </w:tcPr>
          <w:p>
            <w:pPr>
              <w:widowControl/>
              <w:spacing w:line="400" w:lineRule="exact"/>
              <w:jc w:val="lef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10.00分</w:t>
            </w:r>
          </w:p>
        </w:tc>
        <w:tc>
          <w:tcPr>
            <w:tcW w:w="6750" w:type="dxa"/>
            <w:vAlign w:val="center"/>
          </w:tcPr>
          <w:p>
            <w:pPr>
              <w:widowControl/>
              <w:spacing w:line="400" w:lineRule="exact"/>
              <w:jc w:val="left"/>
              <w:rPr>
                <w:rFonts w:hint="eastAsia" w:ascii="Times New Roman" w:hAnsi="Times New Roman" w:cs="宋体"/>
                <w:color w:val="auto"/>
                <w:sz w:val="24"/>
                <w:szCs w:val="24"/>
                <w:highlight w:val="none"/>
              </w:rPr>
            </w:pPr>
            <w:bookmarkStart w:id="85" w:name="OLE_LINK22"/>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承诺</w:t>
            </w:r>
            <w:r>
              <w:rPr>
                <w:rFonts w:hint="eastAsia" w:ascii="Times New Roman" w:hAnsi="Times New Roman" w:cs="宋体"/>
                <w:color w:val="auto"/>
                <w:sz w:val="24"/>
                <w:szCs w:val="24"/>
                <w:highlight w:val="none"/>
                <w:lang w:eastAsia="zh-CN"/>
              </w:rPr>
              <w:t>中标（成交）后</w:t>
            </w:r>
            <w:r>
              <w:rPr>
                <w:rFonts w:hint="eastAsia" w:ascii="Times New Roman" w:hAnsi="Times New Roman" w:cs="宋体"/>
                <w:color w:val="auto"/>
                <w:sz w:val="24"/>
                <w:szCs w:val="24"/>
                <w:highlight w:val="none"/>
              </w:rPr>
              <w:t>按照“第四部分、采购需求-三、服务标准与要求-3.4</w:t>
            </w:r>
            <w:r>
              <w:rPr>
                <w:rFonts w:hint="eastAsia" w:ascii="Times New Roman" w:hAnsi="Times New Roman" w:cs="宋体"/>
                <w:color w:val="auto"/>
                <w:sz w:val="24"/>
                <w:szCs w:val="24"/>
                <w:highlight w:val="none"/>
                <w:lang w:val="en-US" w:eastAsia="zh-CN"/>
              </w:rPr>
              <w:t>消控室服务</w:t>
            </w:r>
            <w:r>
              <w:rPr>
                <w:rFonts w:hint="eastAsia" w:ascii="Times New Roman" w:hAnsi="Times New Roman" w:cs="宋体"/>
                <w:color w:val="auto"/>
                <w:sz w:val="24"/>
                <w:szCs w:val="24"/>
                <w:highlight w:val="none"/>
              </w:rPr>
              <w:t>”的标准服务的，得8分。注：响应文件中需提供加盖本单位公章的承诺函电子件，格式见采购文件“第六章”，未提供不得分。2、</w:t>
            </w:r>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对</w:t>
            </w:r>
            <w:r>
              <w:rPr>
                <w:rFonts w:hint="eastAsia" w:ascii="Times New Roman" w:hAnsi="Times New Roman" w:cs="宋体"/>
                <w:color w:val="auto"/>
                <w:sz w:val="24"/>
                <w:szCs w:val="24"/>
                <w:highlight w:val="none"/>
                <w:lang w:val="en-US" w:eastAsia="zh-CN"/>
              </w:rPr>
              <w:t>消控室服务</w:t>
            </w:r>
            <w:r>
              <w:rPr>
                <w:rFonts w:hint="eastAsia" w:ascii="Times New Roman" w:hAnsi="Times New Roman" w:cs="宋体"/>
                <w:color w:val="auto"/>
                <w:sz w:val="24"/>
                <w:szCs w:val="24"/>
                <w:highlight w:val="none"/>
              </w:rPr>
              <w:t>的采购需求内容，自行提供上述服务方案，服务方案全部优于采购需求的，得2分；未提供不得分。</w:t>
            </w:r>
            <w:bookmarkEnd w:id="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bookmarkStart w:id="86" w:name="OLE_LINK23"/>
            <w:r>
              <w:rPr>
                <w:rFonts w:hint="eastAsia" w:ascii="Times New Roman" w:hAnsi="Times New Roman" w:cs="宋体"/>
                <w:color w:val="auto"/>
                <w:sz w:val="24"/>
                <w:szCs w:val="24"/>
                <w:highlight w:val="none"/>
              </w:rPr>
              <w:t>考核标准承诺</w:t>
            </w:r>
            <w:bookmarkEnd w:id="86"/>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7</w:t>
            </w:r>
            <w:r>
              <w:rPr>
                <w:rFonts w:hint="eastAsia" w:ascii="Times New Roman" w:hAnsi="Times New Roman" w:cs="宋体"/>
                <w:color w:val="auto"/>
                <w:sz w:val="24"/>
                <w:szCs w:val="24"/>
                <w:highlight w:val="none"/>
              </w:rPr>
              <w:t>.00分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87" w:name="OLE_LINK24"/>
            <w:r>
              <w:rPr>
                <w:rFonts w:hint="eastAsia" w:ascii="Times New Roman" w:hAnsi="Times New Roman" w:cs="宋体"/>
                <w:color w:val="auto"/>
                <w:sz w:val="24"/>
                <w:szCs w:val="24"/>
                <w:highlight w:val="none"/>
                <w:lang w:eastAsia="zh-CN"/>
              </w:rPr>
              <w:t>供应商</w:t>
            </w:r>
            <w:r>
              <w:rPr>
                <w:rFonts w:hint="eastAsia" w:ascii="Times New Roman" w:hAnsi="Times New Roman" w:cs="宋体"/>
                <w:color w:val="auto"/>
                <w:sz w:val="24"/>
                <w:szCs w:val="24"/>
                <w:highlight w:val="none"/>
              </w:rPr>
              <w:t>承诺</w:t>
            </w:r>
            <w:r>
              <w:rPr>
                <w:rFonts w:hint="eastAsia" w:ascii="Times New Roman" w:hAnsi="Times New Roman" w:cs="宋体"/>
                <w:color w:val="auto"/>
                <w:sz w:val="24"/>
                <w:szCs w:val="24"/>
                <w:highlight w:val="none"/>
                <w:lang w:eastAsia="zh-CN"/>
              </w:rPr>
              <w:t>中标（成交）后</w:t>
            </w:r>
            <w:r>
              <w:rPr>
                <w:rFonts w:hint="eastAsia" w:ascii="Times New Roman" w:hAnsi="Times New Roman" w:cs="宋体"/>
                <w:color w:val="auto"/>
                <w:sz w:val="24"/>
                <w:szCs w:val="24"/>
                <w:highlight w:val="none"/>
              </w:rPr>
              <w:t>按照第四部分、采购需求中“</w:t>
            </w:r>
            <w:r>
              <w:rPr>
                <w:rFonts w:hint="eastAsia" w:ascii="Times New Roman" w:hAnsi="Times New Roman" w:cs="宋体"/>
                <w:color w:val="auto"/>
                <w:sz w:val="24"/>
                <w:szCs w:val="24"/>
                <w:highlight w:val="none"/>
                <w:lang w:eastAsia="zh-CN"/>
              </w:rPr>
              <w:t>四、考核标准</w:t>
            </w:r>
            <w:r>
              <w:rPr>
                <w:rFonts w:hint="eastAsia" w:ascii="Times New Roman" w:hAnsi="Times New Roman" w:cs="宋体"/>
                <w:color w:val="auto"/>
                <w:sz w:val="24"/>
                <w:szCs w:val="24"/>
                <w:highlight w:val="none"/>
              </w:rPr>
              <w:t>”要求实施，得</w:t>
            </w:r>
            <w:r>
              <w:rPr>
                <w:rFonts w:hint="eastAsia" w:ascii="Times New Roman" w:hAnsi="Times New Roman" w:cs="宋体"/>
                <w:color w:val="auto"/>
                <w:sz w:val="24"/>
                <w:szCs w:val="24"/>
                <w:highlight w:val="none"/>
                <w:lang w:val="en-US" w:eastAsia="zh-CN"/>
              </w:rPr>
              <w:t>7</w:t>
            </w:r>
            <w:r>
              <w:rPr>
                <w:rFonts w:hint="eastAsia" w:ascii="Times New Roman" w:hAnsi="Times New Roman" w:cs="宋体"/>
                <w:color w:val="auto"/>
                <w:sz w:val="24"/>
                <w:szCs w:val="24"/>
                <w:highlight w:val="none"/>
              </w:rPr>
              <w:t>分。注：响应文件中需提供加盖本单位公章的承诺函电子件，格式见采购文件“第六章”，未提供不得分。</w:t>
            </w:r>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3"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bookmarkStart w:id="88" w:name="OLE_LINK25"/>
            <w:r>
              <w:rPr>
                <w:rFonts w:hint="eastAsia" w:ascii="Times New Roman" w:hAnsi="Times New Roman" w:cs="宋体"/>
                <w:color w:val="auto"/>
                <w:sz w:val="24"/>
                <w:szCs w:val="24"/>
                <w:highlight w:val="none"/>
              </w:rPr>
              <w:t>企业业绩</w:t>
            </w:r>
            <w:bookmarkEnd w:id="88"/>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12.00分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89" w:name="OLE_LINK26"/>
            <w:r>
              <w:rPr>
                <w:rFonts w:hint="eastAsia" w:ascii="Times New Roman" w:hAnsi="Times New Roman" w:cs="宋体"/>
                <w:color w:val="auto"/>
                <w:sz w:val="24"/>
                <w:szCs w:val="24"/>
                <w:highlight w:val="none"/>
              </w:rPr>
              <w:t>供应商自202</w:t>
            </w:r>
            <w:r>
              <w:rPr>
                <w:rFonts w:hint="eastAsia" w:ascii="Times New Roman" w:hAnsi="Times New Roman" w:cs="宋体"/>
                <w:color w:val="auto"/>
                <w:sz w:val="24"/>
                <w:szCs w:val="24"/>
                <w:highlight w:val="none"/>
                <w:lang w:val="en-US" w:eastAsia="zh-CN"/>
              </w:rPr>
              <w:t>3</w:t>
            </w:r>
            <w:r>
              <w:rPr>
                <w:rFonts w:hint="eastAsia" w:ascii="Times New Roman" w:hAnsi="Times New Roman" w:cs="宋体"/>
                <w:color w:val="auto"/>
                <w:sz w:val="24"/>
                <w:szCs w:val="24"/>
                <w:highlight w:val="none"/>
              </w:rPr>
              <w:t>年1月1日（以合同签订时间为准），承担过类似非住宅物业服务项目业绩的，每有一个得3分，最高得12分。</w:t>
            </w:r>
          </w:p>
          <w:p>
            <w:pPr>
              <w:widowControl/>
              <w:spacing w:line="400" w:lineRule="exact"/>
              <w:jc w:val="left"/>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注：响应文件中须同时提供中标（成交）通知书和合同原件电子件，提供的资料应能够明确反映出供应商名称、签订时间、服务内容等，未提供、提供不全或提供不清晰的不得分</w:t>
            </w:r>
            <w:r>
              <w:rPr>
                <w:rFonts w:hint="eastAsia" w:ascii="Times New Roman" w:hAnsi="Times New Roman" w:cs="宋体"/>
                <w:color w:val="auto"/>
                <w:sz w:val="24"/>
                <w:szCs w:val="24"/>
                <w:highlight w:val="none"/>
                <w:lang w:eastAsia="zh-CN"/>
              </w:rPr>
              <w:t>。</w:t>
            </w:r>
            <w:bookmarkEnd w:id="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3" w:hRule="atLeast"/>
          <w:jc w:val="center"/>
        </w:trPr>
        <w:tc>
          <w:tcPr>
            <w:tcW w:w="1273" w:type="dxa"/>
            <w:shd w:val="clear" w:color="auto" w:fill="auto"/>
            <w:vAlign w:val="center"/>
          </w:tcPr>
          <w:p>
            <w:pPr>
              <w:widowControl/>
              <w:spacing w:line="400" w:lineRule="exact"/>
              <w:jc w:val="left"/>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rPr>
              <w:t>相关证书</w:t>
            </w:r>
          </w:p>
        </w:tc>
        <w:tc>
          <w:tcPr>
            <w:tcW w:w="1125" w:type="dxa"/>
            <w:shd w:val="clear" w:color="auto" w:fill="auto"/>
            <w:vAlign w:val="center"/>
          </w:tcPr>
          <w:p>
            <w:pPr>
              <w:widowControl/>
              <w:spacing w:line="400" w:lineRule="exact"/>
              <w:jc w:val="left"/>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6</w:t>
            </w:r>
            <w:r>
              <w:rPr>
                <w:rFonts w:hint="eastAsia" w:ascii="Times New Roman" w:hAnsi="Times New Roman" w:cs="宋体"/>
                <w:color w:val="auto"/>
                <w:sz w:val="24"/>
                <w:szCs w:val="24"/>
                <w:highlight w:val="none"/>
              </w:rPr>
              <w:t>.00分</w:t>
            </w:r>
          </w:p>
        </w:tc>
        <w:tc>
          <w:tcPr>
            <w:tcW w:w="6750" w:type="dxa"/>
            <w:shd w:val="clear" w:color="auto" w:fill="auto"/>
            <w:vAlign w:val="center"/>
          </w:tcPr>
          <w:p>
            <w:pPr>
              <w:widowControl/>
              <w:spacing w:line="400" w:lineRule="exact"/>
              <w:jc w:val="lef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供应商</w:t>
            </w:r>
            <w:r>
              <w:rPr>
                <w:rFonts w:hint="eastAsia" w:ascii="Times New Roman" w:hAnsi="Times New Roman" w:cs="宋体"/>
                <w:color w:val="auto"/>
                <w:sz w:val="24"/>
                <w:szCs w:val="24"/>
                <w:highlight w:val="none"/>
              </w:rPr>
              <w:t>具有有效期内的质量管理体系认证证书、环境管理体系认证证书、职业健康安全管理体系认证证书，每有一项得</w:t>
            </w:r>
            <w:r>
              <w:rPr>
                <w:rFonts w:hint="eastAsia" w:ascii="Times New Roman" w:hAnsi="Times New Roman" w:cs="宋体"/>
                <w:color w:val="auto"/>
                <w:sz w:val="24"/>
                <w:szCs w:val="24"/>
                <w:highlight w:val="none"/>
                <w:lang w:val="en-US" w:eastAsia="zh-CN"/>
              </w:rPr>
              <w:t>2</w:t>
            </w:r>
            <w:r>
              <w:rPr>
                <w:rFonts w:hint="eastAsia" w:ascii="Times New Roman" w:hAnsi="Times New Roman" w:cs="宋体"/>
                <w:color w:val="auto"/>
                <w:sz w:val="24"/>
                <w:szCs w:val="24"/>
                <w:highlight w:val="none"/>
              </w:rPr>
              <w:t>分，本项最高得</w:t>
            </w:r>
            <w:r>
              <w:rPr>
                <w:rFonts w:hint="eastAsia" w:ascii="Times New Roman" w:hAnsi="Times New Roman" w:cs="宋体"/>
                <w:color w:val="auto"/>
                <w:sz w:val="24"/>
                <w:szCs w:val="24"/>
                <w:highlight w:val="none"/>
                <w:lang w:val="en-US" w:eastAsia="zh-CN"/>
              </w:rPr>
              <w:t>6</w:t>
            </w:r>
            <w:r>
              <w:rPr>
                <w:rFonts w:hint="eastAsia" w:ascii="Times New Roman" w:hAnsi="Times New Roman" w:cs="宋体"/>
                <w:color w:val="auto"/>
                <w:sz w:val="24"/>
                <w:szCs w:val="24"/>
                <w:highlight w:val="none"/>
              </w:rPr>
              <w:t>分。</w:t>
            </w:r>
          </w:p>
          <w:p>
            <w:pPr>
              <w:widowControl/>
              <w:spacing w:line="400" w:lineRule="exact"/>
              <w:jc w:val="left"/>
              <w:rPr>
                <w:rFonts w:hint="eastAsia" w:ascii="Times New Roman" w:hAnsi="Times New Roman" w:eastAsia="宋体" w:cs="宋体"/>
                <w:color w:val="auto"/>
                <w:sz w:val="21"/>
                <w:szCs w:val="24"/>
                <w:lang w:val="en-US" w:eastAsia="zh-CN" w:bidi="ar-SA"/>
              </w:rPr>
            </w:pPr>
            <w:r>
              <w:rPr>
                <w:rFonts w:hint="eastAsia" w:ascii="Times New Roman" w:hAnsi="Times New Roman" w:cs="宋体"/>
                <w:color w:val="auto"/>
                <w:sz w:val="24"/>
                <w:szCs w:val="24"/>
                <w:highlight w:val="none"/>
              </w:rPr>
              <w:t>注：提供上述相关证书电子件和在国家市场监督管理总局全国认证认可信息公共服务平台查询认证有效的页面截图，未提供的不得分。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bookmarkStart w:id="90" w:name="OLE_LINK10"/>
            <w:r>
              <w:rPr>
                <w:rFonts w:hint="eastAsia" w:ascii="Times New Roman" w:hAnsi="Times New Roman" w:cs="宋体"/>
                <w:color w:val="auto"/>
                <w:sz w:val="24"/>
                <w:szCs w:val="24"/>
                <w:highlight w:val="none"/>
              </w:rPr>
              <w:t>重大活动保障及应急预案</w:t>
            </w:r>
            <w:bookmarkEnd w:id="90"/>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91" w:name="OLE_LINK11"/>
            <w:r>
              <w:rPr>
                <w:rFonts w:hint="eastAsia" w:ascii="Times New Roman" w:hAnsi="Times New Roman" w:cs="宋体"/>
                <w:color w:val="auto"/>
                <w:sz w:val="24"/>
                <w:szCs w:val="24"/>
                <w:highlight w:val="none"/>
              </w:rPr>
              <w:t>供应商提供重大活动保障及应急预案，包括</w:t>
            </w:r>
            <w:r>
              <w:rPr>
                <w:rFonts w:hint="eastAsia" w:ascii="Times New Roman" w:hAnsi="Times New Roman" w:cs="宋体"/>
                <w:color w:val="auto"/>
                <w:sz w:val="24"/>
                <w:szCs w:val="24"/>
                <w:highlight w:val="none"/>
                <w:lang w:val="zh-CN"/>
              </w:rPr>
              <w:t>制订流程</w:t>
            </w:r>
            <w:r>
              <w:rPr>
                <w:rFonts w:hint="eastAsia" w:ascii="Times New Roman" w:hAnsi="Times New Roman" w:cs="宋体"/>
                <w:color w:val="auto"/>
                <w:sz w:val="24"/>
                <w:szCs w:val="24"/>
                <w:highlight w:val="none"/>
              </w:rPr>
              <w:t>、</w:t>
            </w:r>
            <w:r>
              <w:rPr>
                <w:rFonts w:hint="eastAsia" w:ascii="Times New Roman" w:hAnsi="Times New Roman" w:cs="宋体"/>
                <w:color w:val="auto"/>
                <w:sz w:val="24"/>
                <w:szCs w:val="24"/>
                <w:highlight w:val="none"/>
                <w:lang w:val="zh-CN"/>
              </w:rPr>
              <w:t>实施保障</w:t>
            </w:r>
            <w:r>
              <w:rPr>
                <w:rFonts w:hint="eastAsia" w:ascii="Times New Roman" w:hAnsi="Times New Roman" w:cs="宋体"/>
                <w:color w:val="auto"/>
                <w:sz w:val="24"/>
                <w:szCs w:val="24"/>
                <w:highlight w:val="none"/>
              </w:rPr>
              <w:t>、</w:t>
            </w:r>
            <w:r>
              <w:rPr>
                <w:rFonts w:hint="eastAsia" w:ascii="Times New Roman" w:hAnsi="Times New Roman" w:cs="宋体"/>
                <w:color w:val="auto"/>
                <w:sz w:val="24"/>
                <w:szCs w:val="24"/>
                <w:highlight w:val="none"/>
                <w:lang w:val="zh-CN"/>
              </w:rPr>
              <w:t>重点区域及安全隐患排查以及应急预案的建立等</w:t>
            </w:r>
            <w:r>
              <w:rPr>
                <w:rFonts w:hint="eastAsia" w:ascii="Times New Roman" w:hAnsi="Times New Roman" w:cs="宋体"/>
                <w:color w:val="auto"/>
                <w:sz w:val="24"/>
                <w:szCs w:val="24"/>
                <w:highlight w:val="none"/>
              </w:rPr>
              <w:t>有相对完善的组织机构、管理机制和应急预案及有效处置措施等。评标委员会针对方案内容进行</w:t>
            </w:r>
            <w:r>
              <w:rPr>
                <w:rFonts w:hint="eastAsia" w:ascii="Times New Roman" w:hAnsi="Times New Roman" w:cs="宋体"/>
                <w:color w:val="auto"/>
                <w:sz w:val="24"/>
                <w:szCs w:val="24"/>
                <w:highlight w:val="none"/>
                <w:lang w:val="en-US" w:eastAsia="zh-CN"/>
              </w:rPr>
              <w:t>评审</w:t>
            </w:r>
            <w:r>
              <w:rPr>
                <w:rFonts w:hint="eastAsia" w:ascii="Times New Roman" w:hAnsi="Times New Roman" w:cs="宋体"/>
                <w:color w:val="auto"/>
                <w:sz w:val="24"/>
                <w:szCs w:val="24"/>
                <w:highlight w:val="none"/>
              </w:rPr>
              <w:t>，其中：预案机制完备健全，职能职责明确清晰，应急处置措施针对性、操作性成熟，与采购人配合度高响应处置高效的，优于采购需求得</w:t>
            </w: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分；预案机制基本完整，职能职责明确，应急处置措施针对性及可操作性有效，有具体响应处置机制，能够实现采购需求的得</w:t>
            </w:r>
            <w:r>
              <w:rPr>
                <w:rFonts w:hint="eastAsia" w:ascii="Times New Roman" w:hAnsi="Times New Roman" w:cs="宋体"/>
                <w:color w:val="auto"/>
                <w:sz w:val="24"/>
                <w:szCs w:val="24"/>
                <w:highlight w:val="none"/>
                <w:lang w:val="en-US" w:eastAsia="zh-CN"/>
              </w:rPr>
              <w:t>3</w:t>
            </w:r>
            <w:r>
              <w:rPr>
                <w:rFonts w:hint="eastAsia" w:ascii="Times New Roman" w:hAnsi="Times New Roman" w:cs="宋体"/>
                <w:color w:val="auto"/>
                <w:sz w:val="24"/>
                <w:szCs w:val="24"/>
                <w:highlight w:val="none"/>
              </w:rPr>
              <w:t>分</w:t>
            </w:r>
            <w:r>
              <w:rPr>
                <w:rFonts w:hint="eastAsia" w:ascii="Times New Roman" w:hAnsi="Times New Roman" w:cs="宋体"/>
                <w:color w:val="auto"/>
                <w:sz w:val="24"/>
                <w:szCs w:val="24"/>
                <w:highlight w:val="none"/>
                <w:lang w:eastAsia="zh-CN"/>
              </w:rPr>
              <w:t>；</w:t>
            </w:r>
            <w:r>
              <w:rPr>
                <w:rFonts w:hint="eastAsia" w:ascii="Times New Roman" w:hAnsi="Times New Roman" w:cs="宋体"/>
                <w:color w:val="auto"/>
                <w:sz w:val="24"/>
                <w:szCs w:val="24"/>
                <w:highlight w:val="none"/>
              </w:rPr>
              <w:t>没有内容不得分。</w:t>
            </w:r>
            <w:bookmarkEnd w:id="91"/>
            <w:r>
              <w:rPr>
                <w:rFonts w:hint="eastAsia" w:ascii="Times New Roman" w:hAnsi="Times New Roman"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bookmarkStart w:id="92" w:name="OLE_LINK12"/>
            <w:r>
              <w:rPr>
                <w:rFonts w:hint="eastAsia" w:ascii="Times New Roman" w:hAnsi="Times New Roman" w:cs="宋体"/>
                <w:color w:val="auto"/>
                <w:sz w:val="24"/>
                <w:szCs w:val="24"/>
                <w:highlight w:val="none"/>
              </w:rPr>
              <w:t>设备、工具及物耗情况</w:t>
            </w:r>
            <w:bookmarkEnd w:id="92"/>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93" w:name="OLE_LINK13"/>
            <w:r>
              <w:rPr>
                <w:rFonts w:hint="eastAsia" w:ascii="Times New Roman" w:hAnsi="Times New Roman" w:cs="宋体"/>
                <w:color w:val="auto"/>
                <w:sz w:val="24"/>
                <w:szCs w:val="24"/>
                <w:highlight w:val="none"/>
              </w:rPr>
              <w:t>根据供应商对拟投入本项目工具、设备明细表、物耗明细表及具体情况说明等内容进行</w:t>
            </w:r>
            <w:r>
              <w:rPr>
                <w:rFonts w:hint="eastAsia" w:ascii="Times New Roman" w:hAnsi="Times New Roman" w:cs="宋体"/>
                <w:color w:val="auto"/>
                <w:sz w:val="24"/>
                <w:szCs w:val="24"/>
                <w:highlight w:val="none"/>
                <w:lang w:val="en-US" w:eastAsia="zh-CN"/>
              </w:rPr>
              <w:t>评审</w:t>
            </w:r>
            <w:r>
              <w:rPr>
                <w:rFonts w:hint="eastAsia" w:ascii="Times New Roman" w:hAnsi="Times New Roman" w:cs="宋体"/>
                <w:color w:val="auto"/>
                <w:sz w:val="24"/>
                <w:szCs w:val="24"/>
                <w:highlight w:val="none"/>
              </w:rPr>
              <w:t>。其中：装备齐全，提供物耗类别数量繁多，外观、功能成新度高，提高劳动效率快速，优于采购需求得</w:t>
            </w: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分；装备种类较多，提供物耗类别数量中等，外观、功能成新度一般，</w:t>
            </w:r>
            <w:r>
              <w:rPr>
                <w:rFonts w:hint="eastAsia" w:ascii="Times New Roman" w:hAnsi="Times New Roman" w:cs="宋体"/>
                <w:color w:val="auto"/>
                <w:sz w:val="24"/>
                <w:szCs w:val="24"/>
                <w:highlight w:val="none"/>
                <w:lang w:val="en-US" w:eastAsia="zh-CN"/>
              </w:rPr>
              <w:t>能够</w:t>
            </w:r>
            <w:r>
              <w:rPr>
                <w:rFonts w:hint="eastAsia" w:ascii="Times New Roman" w:hAnsi="Times New Roman" w:cs="宋体"/>
                <w:color w:val="auto"/>
                <w:sz w:val="24"/>
                <w:szCs w:val="24"/>
                <w:highlight w:val="none"/>
              </w:rPr>
              <w:t>提高劳动效率方面</w:t>
            </w:r>
            <w:r>
              <w:rPr>
                <w:rFonts w:hint="eastAsia" w:ascii="Times New Roman" w:hAnsi="Times New Roman" w:cs="宋体"/>
                <w:color w:val="auto"/>
                <w:sz w:val="24"/>
                <w:szCs w:val="24"/>
                <w:highlight w:val="none"/>
                <w:lang w:val="en-US" w:eastAsia="zh-CN"/>
              </w:rPr>
              <w:t>可执行性</w:t>
            </w:r>
            <w:r>
              <w:rPr>
                <w:rFonts w:hint="eastAsia" w:ascii="Times New Roman" w:hAnsi="Times New Roman" w:cs="宋体"/>
                <w:color w:val="auto"/>
                <w:sz w:val="24"/>
                <w:szCs w:val="24"/>
                <w:highlight w:val="none"/>
              </w:rPr>
              <w:t>，可以实现采购需求得</w:t>
            </w:r>
            <w:r>
              <w:rPr>
                <w:rFonts w:hint="eastAsia" w:ascii="Times New Roman" w:hAnsi="Times New Roman" w:cs="宋体"/>
                <w:color w:val="auto"/>
                <w:sz w:val="24"/>
                <w:szCs w:val="24"/>
                <w:highlight w:val="none"/>
                <w:lang w:val="en-US" w:eastAsia="zh-CN"/>
              </w:rPr>
              <w:t>3</w:t>
            </w:r>
            <w:r>
              <w:rPr>
                <w:rFonts w:hint="eastAsia" w:ascii="Times New Roman" w:hAnsi="Times New Roman" w:cs="宋体"/>
                <w:color w:val="auto"/>
                <w:sz w:val="24"/>
                <w:szCs w:val="24"/>
                <w:highlight w:val="none"/>
              </w:rPr>
              <w:t>分；没有内容不得分。</w:t>
            </w:r>
          </w:p>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注：供应商自行提供图片、清单名称及功能等证明资料。</w:t>
            </w:r>
            <w:bookmarkEnd w:id="77"/>
            <w:bookmarkEnd w:id="78"/>
            <w:bookmarkEnd w:id="79"/>
            <w:bookmarkEnd w:id="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73" w:type="dxa"/>
            <w:shd w:val="clear" w:color="auto" w:fill="auto"/>
            <w:vAlign w:val="center"/>
          </w:tcPr>
          <w:p>
            <w:pPr>
              <w:widowControl/>
              <w:spacing w:line="400" w:lineRule="exact"/>
              <w:jc w:val="left"/>
              <w:rPr>
                <w:rFonts w:hint="eastAsia" w:ascii="Times New Roman" w:hAnsi="Times New Roman" w:cs="宋体"/>
                <w:color w:val="auto"/>
                <w:sz w:val="24"/>
                <w:szCs w:val="24"/>
                <w:highlight w:val="none"/>
                <w:lang w:val="en-US" w:eastAsia="zh-CN"/>
              </w:rPr>
            </w:pPr>
            <w:bookmarkStart w:id="94" w:name="OLE_LINK14"/>
            <w:bookmarkStart w:id="95" w:name="_Toc10422"/>
            <w:r>
              <w:rPr>
                <w:rFonts w:hint="eastAsia" w:ascii="Times New Roman" w:hAnsi="Times New Roman" w:cs="宋体"/>
                <w:color w:val="auto"/>
                <w:sz w:val="24"/>
                <w:szCs w:val="24"/>
                <w:highlight w:val="none"/>
              </w:rPr>
              <w:t>进退场交接方案</w:t>
            </w:r>
            <w:bookmarkEnd w:id="94"/>
          </w:p>
        </w:tc>
        <w:tc>
          <w:tcPr>
            <w:tcW w:w="1125" w:type="dxa"/>
            <w:shd w:val="clear" w:color="auto" w:fill="auto"/>
            <w:vAlign w:val="center"/>
          </w:tcPr>
          <w:p>
            <w:pPr>
              <w:widowControl/>
              <w:spacing w:line="400" w:lineRule="exact"/>
              <w:jc w:val="left"/>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.00分</w:t>
            </w:r>
          </w:p>
        </w:tc>
        <w:tc>
          <w:tcPr>
            <w:tcW w:w="6750" w:type="dxa"/>
            <w:shd w:val="clear" w:color="auto" w:fill="auto"/>
            <w:vAlign w:val="center"/>
          </w:tcPr>
          <w:p>
            <w:pPr>
              <w:widowControl/>
              <w:spacing w:line="400" w:lineRule="exact"/>
              <w:jc w:val="left"/>
              <w:rPr>
                <w:rFonts w:hint="eastAsia" w:ascii="Times New Roman" w:hAnsi="Times New Roman" w:eastAsia="宋体" w:cs="宋体"/>
                <w:color w:val="auto"/>
                <w:sz w:val="21"/>
                <w:szCs w:val="24"/>
                <w:lang w:val="en-US" w:eastAsia="zh-CN" w:bidi="ar-SA"/>
              </w:rPr>
            </w:pPr>
            <w:bookmarkStart w:id="96" w:name="OLE_LINK15"/>
            <w:r>
              <w:rPr>
                <w:rFonts w:hint="eastAsia" w:ascii="Times New Roman" w:hAnsi="Times New Roman" w:cs="宋体"/>
                <w:color w:val="auto"/>
                <w:sz w:val="24"/>
                <w:szCs w:val="24"/>
                <w:highlight w:val="none"/>
              </w:rPr>
              <w:t>根据</w:t>
            </w:r>
            <w:r>
              <w:rPr>
                <w:rFonts w:hint="eastAsia" w:ascii="Times New Roman" w:hAnsi="Times New Roman" w:cs="宋体"/>
                <w:color w:val="auto"/>
                <w:sz w:val="24"/>
                <w:szCs w:val="24"/>
                <w:highlight w:val="none"/>
                <w:lang w:val="en-US" w:eastAsia="zh-CN"/>
              </w:rPr>
              <w:t>供应商</w:t>
            </w:r>
            <w:r>
              <w:rPr>
                <w:rFonts w:hint="eastAsia" w:ascii="Times New Roman" w:hAnsi="Times New Roman" w:cs="宋体"/>
                <w:color w:val="auto"/>
                <w:sz w:val="24"/>
                <w:szCs w:val="24"/>
                <w:highlight w:val="none"/>
              </w:rPr>
              <w:t>提供的进退场交接方案进行</w:t>
            </w:r>
            <w:r>
              <w:rPr>
                <w:rFonts w:hint="eastAsia" w:ascii="Times New Roman" w:hAnsi="Times New Roman" w:cs="宋体"/>
                <w:color w:val="auto"/>
                <w:sz w:val="24"/>
                <w:szCs w:val="24"/>
                <w:highlight w:val="none"/>
                <w:lang w:val="en-US" w:eastAsia="zh-CN"/>
              </w:rPr>
              <w:t>评审</w:t>
            </w:r>
            <w:r>
              <w:rPr>
                <w:rFonts w:hint="eastAsia" w:ascii="Times New Roman" w:hAnsi="Times New Roman" w:cs="宋体"/>
                <w:color w:val="auto"/>
                <w:sz w:val="24"/>
                <w:szCs w:val="24"/>
                <w:highlight w:val="none"/>
              </w:rPr>
              <w:t>。优于采购需求得</w:t>
            </w: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分；满足采购需求得</w:t>
            </w:r>
            <w:r>
              <w:rPr>
                <w:rFonts w:hint="eastAsia" w:ascii="Times New Roman" w:hAnsi="Times New Roman" w:cs="宋体"/>
                <w:color w:val="auto"/>
                <w:sz w:val="24"/>
                <w:szCs w:val="24"/>
                <w:highlight w:val="none"/>
                <w:lang w:val="en-US" w:eastAsia="zh-CN"/>
              </w:rPr>
              <w:t>3</w:t>
            </w:r>
            <w:r>
              <w:rPr>
                <w:rFonts w:hint="eastAsia" w:ascii="Times New Roman" w:hAnsi="Times New Roman" w:cs="宋体"/>
                <w:color w:val="auto"/>
                <w:sz w:val="24"/>
                <w:szCs w:val="24"/>
                <w:highlight w:val="none"/>
              </w:rPr>
              <w:t>分；没有内容不得分。</w:t>
            </w:r>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73" w:type="dxa"/>
            <w:vAlign w:val="center"/>
          </w:tcPr>
          <w:p>
            <w:pPr>
              <w:widowControl/>
              <w:spacing w:line="400" w:lineRule="exact"/>
              <w:jc w:val="left"/>
              <w:rPr>
                <w:rFonts w:ascii="Times New Roman" w:hAnsi="Times New Roman" w:cs="宋体"/>
                <w:color w:val="auto"/>
                <w:sz w:val="24"/>
                <w:szCs w:val="24"/>
                <w:highlight w:val="none"/>
              </w:rPr>
            </w:pPr>
            <w:bookmarkStart w:id="97" w:name="OLE_LINK16"/>
            <w:r>
              <w:rPr>
                <w:rFonts w:hint="eastAsia" w:ascii="Times New Roman" w:hAnsi="Times New Roman" w:cs="宋体"/>
                <w:color w:val="auto"/>
                <w:sz w:val="24"/>
                <w:szCs w:val="24"/>
                <w:highlight w:val="none"/>
              </w:rPr>
              <w:t>服务费用分配方案</w:t>
            </w:r>
            <w:bookmarkEnd w:id="97"/>
          </w:p>
        </w:tc>
        <w:tc>
          <w:tcPr>
            <w:tcW w:w="1125" w:type="dxa"/>
            <w:vAlign w:val="center"/>
          </w:tcPr>
          <w:p>
            <w:pPr>
              <w:widowControl/>
              <w:spacing w:line="400" w:lineRule="exact"/>
              <w:jc w:val="lef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.00分</w:t>
            </w:r>
          </w:p>
        </w:tc>
        <w:tc>
          <w:tcPr>
            <w:tcW w:w="6750" w:type="dxa"/>
            <w:vAlign w:val="center"/>
          </w:tcPr>
          <w:p>
            <w:pPr>
              <w:widowControl/>
              <w:spacing w:line="400" w:lineRule="exact"/>
              <w:jc w:val="left"/>
              <w:rPr>
                <w:rFonts w:ascii="Times New Roman" w:hAnsi="Times New Roman" w:cs="宋体"/>
                <w:color w:val="auto"/>
                <w:sz w:val="24"/>
                <w:szCs w:val="24"/>
                <w:highlight w:val="none"/>
              </w:rPr>
            </w:pPr>
            <w:bookmarkStart w:id="98" w:name="OLE_LINK17"/>
            <w:r>
              <w:rPr>
                <w:rFonts w:hint="eastAsia" w:ascii="Times New Roman" w:hAnsi="Times New Roman" w:cs="宋体"/>
                <w:color w:val="auto"/>
                <w:sz w:val="24"/>
                <w:szCs w:val="24"/>
                <w:highlight w:val="none"/>
              </w:rPr>
              <w:t>根据供应商提供的分项报价表中所列的各项费用提供费用分配方案和费用测算分析说明，对分配方案和测算分析说明进行打分。有利于保障并提高服务质量，优于采购需求的得</w:t>
            </w:r>
            <w:r>
              <w:rPr>
                <w:rFonts w:hint="eastAsia" w:ascii="Times New Roman" w:hAnsi="Times New Roman" w:cs="宋体"/>
                <w:color w:val="auto"/>
                <w:sz w:val="24"/>
                <w:szCs w:val="24"/>
                <w:highlight w:val="none"/>
                <w:lang w:val="en-US" w:eastAsia="zh-CN"/>
              </w:rPr>
              <w:t>5</w:t>
            </w:r>
            <w:r>
              <w:rPr>
                <w:rFonts w:hint="eastAsia" w:ascii="Times New Roman" w:hAnsi="Times New Roman" w:cs="宋体"/>
                <w:color w:val="auto"/>
                <w:sz w:val="24"/>
                <w:szCs w:val="24"/>
                <w:highlight w:val="none"/>
              </w:rPr>
              <w:t>分，能够实现采购需求的得</w:t>
            </w:r>
            <w:r>
              <w:rPr>
                <w:rFonts w:hint="eastAsia" w:ascii="Times New Roman" w:hAnsi="Times New Roman" w:cs="宋体"/>
                <w:color w:val="auto"/>
                <w:sz w:val="24"/>
                <w:szCs w:val="24"/>
                <w:highlight w:val="none"/>
                <w:lang w:val="en-US" w:eastAsia="zh-CN"/>
              </w:rPr>
              <w:t>3</w:t>
            </w:r>
            <w:r>
              <w:rPr>
                <w:rFonts w:hint="eastAsia" w:ascii="Times New Roman" w:hAnsi="Times New Roman" w:cs="宋体"/>
                <w:color w:val="auto"/>
                <w:sz w:val="24"/>
                <w:szCs w:val="24"/>
                <w:highlight w:val="none"/>
              </w:rPr>
              <w:t>分，其他不得分。分项报价表中如出现“主动让利、优惠、折扣”等视为报价不合理，本项不得分。</w:t>
            </w:r>
            <w:bookmarkEnd w:id="98"/>
            <w:r>
              <w:rPr>
                <w:rFonts w:hint="eastAsia" w:ascii="Times New Roman" w:hAnsi="Times New Roman" w:cs="宋体"/>
                <w:color w:val="auto"/>
                <w:sz w:val="24"/>
                <w:szCs w:val="24"/>
                <w:highlight w:val="none"/>
              </w:rPr>
              <w:t xml:space="preserve"> </w:t>
            </w:r>
          </w:p>
        </w:tc>
      </w:tr>
    </w:tbl>
    <w:p>
      <w:pPr>
        <w:rPr>
          <w:rFonts w:ascii="Times New Roman" w:hAnsi="Times New Roman"/>
          <w:color w:val="auto"/>
          <w:sz w:val="44"/>
          <w:szCs w:val="44"/>
          <w:highlight w:val="none"/>
        </w:rPr>
      </w:pPr>
      <w:r>
        <w:rPr>
          <w:rFonts w:ascii="Times New Roman" w:hAnsi="Times New Roman"/>
          <w:color w:val="auto"/>
          <w:sz w:val="44"/>
          <w:szCs w:val="44"/>
          <w:highlight w:val="none"/>
        </w:rPr>
        <w:br w:type="page" w:clear="all"/>
      </w:r>
    </w:p>
    <w:p>
      <w:pPr>
        <w:spacing w:line="500" w:lineRule="exact"/>
        <w:jc w:val="center"/>
        <w:outlineLvl w:val="0"/>
        <w:rPr>
          <w:rFonts w:ascii="仿宋" w:hAnsi="仿宋" w:eastAsia="仿宋" w:cs="仿宋"/>
          <w:color w:val="auto"/>
          <w:sz w:val="44"/>
          <w:szCs w:val="44"/>
          <w:highlight w:val="none"/>
        </w:rPr>
      </w:pPr>
      <w:bookmarkStart w:id="99" w:name="_Toc6687"/>
      <w:bookmarkStart w:id="100" w:name="_Toc31956"/>
      <w:r>
        <w:rPr>
          <w:rFonts w:ascii="Times New Roman" w:hAnsi="Times New Roman"/>
          <w:color w:val="auto"/>
          <w:sz w:val="44"/>
          <w:szCs w:val="44"/>
          <w:highlight w:val="none"/>
        </w:rPr>
        <w:t>第四</w:t>
      </w:r>
      <w:r>
        <w:rPr>
          <w:rFonts w:hint="eastAsia" w:ascii="Times New Roman" w:hAnsi="Times New Roman"/>
          <w:color w:val="auto"/>
          <w:sz w:val="44"/>
          <w:szCs w:val="44"/>
          <w:highlight w:val="none"/>
        </w:rPr>
        <w:t xml:space="preserve">章  </w:t>
      </w:r>
      <w:r>
        <w:rPr>
          <w:rFonts w:ascii="Times New Roman" w:hAnsi="Times New Roman"/>
          <w:color w:val="auto"/>
          <w:sz w:val="44"/>
          <w:szCs w:val="44"/>
          <w:highlight w:val="none"/>
        </w:rPr>
        <w:t>采购需求</w:t>
      </w:r>
      <w:bookmarkEnd w:id="95"/>
      <w:bookmarkEnd w:id="99"/>
      <w:bookmarkEnd w:id="100"/>
    </w:p>
    <w:p>
      <w:pPr>
        <w:pStyle w:val="35"/>
        <w:spacing w:before="0" w:beforeAutospacing="0" w:after="0" w:afterAutospacing="0" w:line="0" w:lineRule="atLeast"/>
        <w:jc w:val="both"/>
        <w:rPr>
          <w:rFonts w:ascii="仿宋" w:hAnsi="仿宋" w:eastAsia="仿宋" w:cs="仿宋"/>
          <w:color w:val="auto"/>
          <w:szCs w:val="24"/>
          <w:highlight w:val="none"/>
        </w:rPr>
      </w:pP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项目属性：服务类项目</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cs="宋体"/>
          <w:color w:val="auto"/>
          <w:sz w:val="24"/>
          <w:szCs w:val="24"/>
          <w:highlight w:val="none"/>
          <w:lang w:eastAsia="zh-CN"/>
        </w:rPr>
        <w:t>物业管理</w:t>
      </w:r>
    </w:p>
    <w:p>
      <w:pPr>
        <w:pStyle w:val="123"/>
        <w:pageBreakBefore w:val="0"/>
        <w:widowControl w:val="0"/>
        <w:numPr>
          <w:ilvl w:val="0"/>
          <w:numId w:val="4"/>
        </w:numPr>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项目概况</w:t>
      </w:r>
    </w:p>
    <w:p>
      <w:pPr>
        <w:pStyle w:val="16"/>
        <w:pageBreakBefore w:val="0"/>
        <w:widowControl w:val="0"/>
        <w:kinsoku/>
        <w:wordWrap/>
        <w:overflowPunct/>
        <w:topLinePunct w:val="0"/>
        <w:autoSpaceDE/>
        <w:autoSpaceDN/>
        <w:bidi w:val="0"/>
        <w:adjustRightInd/>
        <w:snapToGrid/>
        <w:spacing w:line="360" w:lineRule="auto"/>
        <w:ind w:left="0" w:firstLine="474" w:firstLineChars="200"/>
        <w:textAlignment w:val="auto"/>
        <w:outlineLvl w:val="1"/>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（一）项目简介：为宿豫区教育局大楼（1楼、3-7楼、12楼）、楼梯道、会议室、卫生间、院落清洁、绿化管养等服务，提供</w:t>
      </w:r>
      <w:r>
        <w:rPr>
          <w:rFonts w:hint="eastAsia" w:ascii="宋体" w:hAnsi="宋体" w:eastAsia="宋体" w:cs="宋体"/>
          <w:color w:val="auto"/>
          <w:spacing w:val="-2"/>
          <w:sz w:val="24"/>
          <w:szCs w:val="24"/>
          <w:highlight w:val="none"/>
          <w:lang w:eastAsia="zh-CN"/>
        </w:rPr>
        <w:t>保洁员2 名（兼绿化管养人员）、消控室值班人员2名，</w:t>
      </w:r>
      <w:r>
        <w:rPr>
          <w:rFonts w:hint="eastAsia" w:ascii="宋体" w:hAnsi="宋体" w:eastAsia="宋体" w:cs="宋体"/>
          <w:color w:val="auto"/>
          <w:spacing w:val="-2"/>
          <w:sz w:val="24"/>
          <w:szCs w:val="24"/>
          <w:highlight w:val="none"/>
          <w:lang w:val="en-US" w:eastAsia="zh-CN"/>
        </w:rPr>
        <w:t>项目预算为40万元，最高限价为40万元</w:t>
      </w:r>
      <w:r>
        <w:rPr>
          <w:rFonts w:hint="eastAsia" w:ascii="宋体" w:hAnsi="宋体" w:eastAsia="宋体" w:cs="宋体"/>
          <w:color w:val="auto"/>
          <w:spacing w:val="-2"/>
          <w:sz w:val="24"/>
          <w:szCs w:val="24"/>
          <w:highlight w:val="none"/>
          <w:lang w:eastAsia="zh-CN"/>
        </w:rPr>
        <w:t>。</w:t>
      </w:r>
    </w:p>
    <w:p>
      <w:pPr>
        <w:pStyle w:val="616"/>
        <w:pageBreakBefore w:val="0"/>
        <w:widowControl w:val="0"/>
        <w:kinsoku/>
        <w:wordWrap/>
        <w:overflowPunct/>
        <w:topLinePunct w:val="0"/>
        <w:autoSpaceDE/>
        <w:autoSpaceDN/>
        <w:bidi w:val="0"/>
        <w:adjustRightInd/>
        <w:snapToGrid/>
        <w:spacing w:line="360" w:lineRule="auto"/>
        <w:ind w:left="0" w:firstLine="472"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（二）合同履行期限：</w:t>
      </w:r>
      <w:r>
        <w:rPr>
          <w:rFonts w:hint="eastAsia" w:ascii="宋体" w:hAnsi="宋体" w:cs="宋体"/>
          <w:color w:val="auto"/>
          <w:sz w:val="24"/>
          <w:szCs w:val="24"/>
          <w:highlight w:val="none"/>
          <w:lang w:bidi="zh-CN"/>
        </w:rPr>
        <w:t>2年，自合同生效之日起计算</w:t>
      </w:r>
      <w:r>
        <w:rPr>
          <w:rFonts w:hint="eastAsia" w:ascii="宋体" w:hAnsi="宋体" w:eastAsia="宋体" w:cs="宋体"/>
          <w:color w:val="auto"/>
          <w:sz w:val="24"/>
          <w:szCs w:val="24"/>
          <w:highlight w:val="none"/>
          <w:lang w:bidi="zh-CN"/>
        </w:rPr>
        <w:t>。</w:t>
      </w:r>
    </w:p>
    <w:p>
      <w:pPr>
        <w:pStyle w:val="616"/>
        <w:pageBreakBefore w:val="0"/>
        <w:widowControl w:val="0"/>
        <w:kinsoku/>
        <w:wordWrap/>
        <w:overflowPunct/>
        <w:topLinePunct w:val="0"/>
        <w:autoSpaceDE/>
        <w:autoSpaceDN/>
        <w:bidi w:val="0"/>
        <w:adjustRightInd/>
        <w:snapToGrid/>
        <w:spacing w:line="360" w:lineRule="auto"/>
        <w:ind w:left="0" w:firstLine="47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（三）服务质量：合格</w:t>
      </w:r>
      <w:r>
        <w:rPr>
          <w:rFonts w:hint="eastAsia" w:ascii="宋体" w:hAnsi="宋体" w:cs="宋体"/>
          <w:color w:val="auto"/>
          <w:spacing w:val="-2"/>
          <w:sz w:val="24"/>
          <w:szCs w:val="24"/>
          <w:highlight w:val="none"/>
          <w:lang w:eastAsia="zh-CN"/>
        </w:rPr>
        <w:t>。</w:t>
      </w:r>
    </w:p>
    <w:p>
      <w:pPr>
        <w:pStyle w:val="123"/>
        <w:pageBreakBefore w:val="0"/>
        <w:widowControl w:val="0"/>
        <w:numPr>
          <w:ilvl w:val="0"/>
          <w:numId w:val="5"/>
        </w:numPr>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服务范围及内容</w:t>
      </w:r>
    </w:p>
    <w:p>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zh-CN"/>
        </w:rPr>
        <w:t>以下人员配备为最低要求，不接受负偏离，响应文件中提供全部响应要求的承诺函电子件（加盖公章，承诺函格式附后），否则按无效标处理。</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1、保洁员：2名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兼绿化管养人员</w:t>
      </w:r>
      <w:r>
        <w:rPr>
          <w:rFonts w:hint="eastAsia" w:ascii="宋体" w:hAnsi="宋体" w:cs="宋体"/>
          <w:color w:val="auto"/>
          <w:sz w:val="24"/>
          <w:szCs w:val="24"/>
          <w:highlight w:val="none"/>
          <w:lang w:eastAsia="zh-CN"/>
        </w:rPr>
        <w:t>）</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女性，</w:t>
      </w:r>
      <w:r>
        <w:rPr>
          <w:rFonts w:hint="eastAsia" w:ascii="宋体" w:hAnsi="宋体" w:cs="宋体"/>
          <w:color w:val="auto"/>
          <w:sz w:val="24"/>
          <w:szCs w:val="24"/>
          <w:highlight w:val="none"/>
          <w:lang w:val="en-US" w:eastAsia="zh-CN"/>
        </w:rPr>
        <w:t>年龄在63周岁（含）以下</w:t>
      </w:r>
      <w:r>
        <w:rPr>
          <w:rFonts w:hint="eastAsia" w:ascii="宋体" w:hAnsi="宋体" w:eastAsia="宋体" w:cs="宋体"/>
          <w:color w:val="auto"/>
          <w:sz w:val="24"/>
          <w:szCs w:val="24"/>
          <w:highlight w:val="none"/>
        </w:rPr>
        <w:t>(以身份证为准)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初中以上文化，有吃苦耐劳精神，责任心强。采购人有权根据现场情况对保洁人员配备进行调整。</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做好清洁工作，服从管理，遵守公司规章制度、工作细致，认真完成工作任务。负责公共走道、楼道、楼梯扶手、玻璃门窗、办公室、会议室、卫生间、茶水间、淋浴房等保洁、消毒、蚊虫防治等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负责</w:t>
      </w:r>
      <w:r>
        <w:rPr>
          <w:rFonts w:hint="eastAsia" w:ascii="宋体" w:hAnsi="宋体" w:eastAsia="宋体" w:cs="宋体"/>
          <w:color w:val="auto"/>
          <w:spacing w:val="-2"/>
          <w:sz w:val="24"/>
          <w:szCs w:val="24"/>
          <w:highlight w:val="none"/>
        </w:rPr>
        <w:t>院落清洁、绿化管养等服务</w:t>
      </w:r>
      <w:r>
        <w:rPr>
          <w:rFonts w:hint="eastAsia" w:ascii="宋体" w:hAnsi="宋体" w:eastAsia="宋体" w:cs="宋体"/>
          <w:color w:val="auto"/>
          <w:sz w:val="24"/>
          <w:szCs w:val="24"/>
          <w:highlight w:val="none"/>
        </w:rPr>
        <w:t>。</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负责垃圾清运至指定地点及垃圾桶的清洁。</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消控室值班人员2名</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男性，年龄在55周岁（含）以下（以居民身份证为准），</w:t>
      </w:r>
      <w:r>
        <w:rPr>
          <w:rFonts w:hint="eastAsia" w:ascii="宋体" w:hAnsi="宋体" w:cs="宋体"/>
          <w:b/>
          <w:bCs/>
          <w:color w:val="auto"/>
          <w:sz w:val="24"/>
          <w:szCs w:val="24"/>
          <w:highlight w:val="none"/>
          <w:lang w:val="en-US" w:eastAsia="zh-CN"/>
        </w:rPr>
        <w:t>均须具有中级建（构）筑物消防员职业资格证书</w:t>
      </w:r>
      <w:r>
        <w:rPr>
          <w:rFonts w:hint="eastAsia" w:ascii="宋体" w:hAnsi="宋体" w:cs="宋体"/>
          <w:color w:val="auto"/>
          <w:sz w:val="24"/>
          <w:szCs w:val="24"/>
          <w:highlight w:val="none"/>
          <w:lang w:val="en-US" w:eastAsia="zh-CN"/>
        </w:rPr>
        <w:t>。</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初中以上文化，身体健康，责任心强，体态良好，接受过相关训练，能正确使用各类消防、物防，熟悉项目环境，熟知消防管理有关法律法规。熟悉处理各类灾害事故的应急预案。思想品质好，作风正派，无不良记录，五官端正。消控室任何时间段不少于1名持证人员在岗（含节假日）。</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服务人员可在</w:t>
      </w:r>
      <w:r>
        <w:rPr>
          <w:rFonts w:hint="eastAsia" w:ascii="宋体" w:hAnsi="宋体" w:cs="宋体"/>
          <w:color w:val="auto"/>
          <w:sz w:val="24"/>
          <w:szCs w:val="24"/>
          <w:highlight w:val="none"/>
          <w:lang w:eastAsia="zh-CN"/>
        </w:rPr>
        <w:t>中标（成交）后</w:t>
      </w:r>
      <w:r>
        <w:rPr>
          <w:rFonts w:hint="eastAsia" w:ascii="宋体" w:hAnsi="宋体" w:eastAsia="宋体" w:cs="宋体"/>
          <w:color w:val="auto"/>
          <w:sz w:val="24"/>
          <w:szCs w:val="24"/>
          <w:highlight w:val="none"/>
        </w:rPr>
        <w:t>按要求聘用相关人员，并依法签订劳动合同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所有人员进场前采购人将对其是否有违法犯罪记录进行审查，审查不通过不予留用。</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所有人员均须有健康证，无重大疾病和传染病。由</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按照相关要求招聘，并获采购人认可后进场。以上人员均无犯罪记录，未受过刑事处罚，未有相关法律纠纷。</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在成交结果公告发出之日起7日内将所有人员资料</w:t>
      </w:r>
      <w:r>
        <w:rPr>
          <w:rFonts w:hint="eastAsia" w:ascii="宋体" w:hAnsi="宋体"/>
          <w:b/>
          <w:bCs/>
          <w:color w:val="auto"/>
          <w:szCs w:val="21"/>
        </w:rPr>
        <w:t>（含居民身份证、健康证、相关从业证书等）</w:t>
      </w:r>
      <w:r>
        <w:rPr>
          <w:rFonts w:hint="eastAsia" w:ascii="宋体" w:hAnsi="宋体" w:eastAsia="宋体" w:cs="宋体"/>
          <w:color w:val="auto"/>
          <w:sz w:val="24"/>
          <w:szCs w:val="24"/>
          <w:highlight w:val="none"/>
        </w:rPr>
        <w:t>交采购人审核，以上聘用的人员经采购人审核书面同意后方可上岗。</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如因</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项目组成员疏忽或失职造成贵重物品被盗、毁坏或发生重大安全事故，成交方承担一切赔偿责任。履约期间，如若发生项目组成员工伤或遇项目组成员人身伤亡事故，均由成交方负责，与采购方无关。</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trike w:val="0"/>
          <w:dstrike w:val="0"/>
          <w:color w:val="auto"/>
          <w:sz w:val="24"/>
          <w:szCs w:val="24"/>
          <w:highlight w:val="none"/>
        </w:rPr>
      </w:pPr>
      <w:r>
        <w:rPr>
          <w:rFonts w:hint="eastAsia" w:ascii="宋体"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val="en-US" w:eastAsia="zh-CN"/>
        </w:rPr>
        <w:t>5</w:t>
      </w:r>
      <w:r>
        <w:rPr>
          <w:rFonts w:hint="eastAsia" w:ascii="宋体" w:hAnsi="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履约过程中，成交供应商须按照国家及地方规定</w:t>
      </w:r>
      <w:r>
        <w:rPr>
          <w:rFonts w:hint="eastAsia" w:ascii="宋体" w:hAnsi="宋体" w:cs="宋体"/>
          <w:strike w:val="0"/>
          <w:dstrike w:val="0"/>
          <w:color w:val="auto"/>
          <w:sz w:val="24"/>
          <w:szCs w:val="24"/>
          <w:highlight w:val="none"/>
          <w:lang w:val="en-US" w:eastAsia="zh-CN"/>
        </w:rPr>
        <w:t>为符合年龄要求的人员</w:t>
      </w:r>
      <w:r>
        <w:rPr>
          <w:rFonts w:hint="eastAsia" w:ascii="宋体" w:hAnsi="宋体" w:eastAsia="宋体" w:cs="宋体"/>
          <w:strike w:val="0"/>
          <w:dstrike w:val="0"/>
          <w:color w:val="auto"/>
          <w:sz w:val="24"/>
          <w:szCs w:val="24"/>
          <w:highlight w:val="none"/>
        </w:rPr>
        <w:t>按月缴纳社保(费用包含在本次报价中)。员工仅与成交供应商存在劳动关系</w:t>
      </w:r>
      <w:r>
        <w:rPr>
          <w:rFonts w:hint="eastAsia" w:ascii="宋体" w:hAnsi="宋体" w:cs="宋体"/>
          <w:strike w:val="0"/>
          <w:dstrike w:val="0"/>
          <w:color w:val="auto"/>
          <w:sz w:val="24"/>
          <w:szCs w:val="24"/>
          <w:highlight w:val="none"/>
          <w:lang w:val="en-US" w:eastAsia="zh-CN"/>
        </w:rPr>
        <w:t>的</w:t>
      </w:r>
      <w:r>
        <w:rPr>
          <w:rFonts w:hint="eastAsia" w:ascii="宋体" w:hAnsi="宋体" w:eastAsia="宋体" w:cs="宋体"/>
          <w:strike w:val="0"/>
          <w:dstrike w:val="0"/>
          <w:color w:val="auto"/>
          <w:sz w:val="24"/>
          <w:szCs w:val="24"/>
          <w:highlight w:val="none"/>
        </w:rPr>
        <w:t>，与甲方没有任何法律关系。</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）中标供应商应根据工作需要及要求安排上班人员，由中标供应商自行编制各岗位排班表报采购人审批后执行，所涉及的费用，由供应商计入此次报价中，采购人不予另计。</w:t>
      </w:r>
    </w:p>
    <w:p>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）采购方有权根据工作表现、工作需求提出更换人员，成交供应商需在采购方提出需求一个月内完成人员更换，并完成更换人员的费用结算。</w:t>
      </w:r>
    </w:p>
    <w:p>
      <w:pPr>
        <w:pStyle w:val="12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三、服务标准与要求</w:t>
      </w:r>
    </w:p>
    <w:p>
      <w:pPr>
        <w:pStyle w:val="744"/>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color w:val="auto"/>
          <w:sz w:val="24"/>
          <w:szCs w:val="24"/>
          <w:highlight w:val="none"/>
        </w:rPr>
      </w:pPr>
      <w:bookmarkStart w:id="101" w:name="_Toc10498"/>
      <w:bookmarkStart w:id="102" w:name="_Toc26156"/>
      <w:bookmarkStart w:id="103" w:name="_Toc26485"/>
      <w:r>
        <w:rPr>
          <w:rFonts w:hint="eastAsia" w:ascii="宋体" w:hAnsi="宋体" w:eastAsia="宋体" w:cs="宋体"/>
          <w:b/>
          <w:bCs/>
          <w:color w:val="auto"/>
          <w:sz w:val="24"/>
          <w:szCs w:val="24"/>
          <w:highlight w:val="none"/>
        </w:rPr>
        <w:t>3.</w:t>
      </w:r>
      <w:bookmarkEnd w:id="101"/>
      <w:bookmarkEnd w:id="102"/>
      <w:bookmarkEnd w:id="103"/>
      <w:r>
        <w:rPr>
          <w:rFonts w:hint="eastAsia" w:ascii="宋体" w:hAnsi="宋体" w:eastAsia="宋体" w:cs="宋体"/>
          <w:b/>
          <w:bCs/>
          <w:color w:val="auto"/>
          <w:sz w:val="24"/>
          <w:szCs w:val="24"/>
          <w:highlight w:val="none"/>
        </w:rPr>
        <w:t>1基本服务</w:t>
      </w:r>
    </w:p>
    <w:tbl>
      <w:tblPr>
        <w:tblStyle w:val="37"/>
        <w:tblW w:w="8773"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8"/>
        <w:gridCol w:w="1663"/>
        <w:gridCol w:w="63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18" w:type="dxa"/>
            <w:vAlign w:val="center"/>
          </w:tcPr>
          <w:p>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663" w:type="dxa"/>
            <w:vAlign w:val="center"/>
          </w:tcPr>
          <w:p>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服务内容</w:t>
            </w:r>
          </w:p>
        </w:tc>
        <w:tc>
          <w:tcPr>
            <w:tcW w:w="6392" w:type="dxa"/>
            <w:vAlign w:val="center"/>
          </w:tcPr>
          <w:p>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目标与责任</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（1）结合采购人要求及物业服务实际情况，制定年度管理目标，明确责任分工，并制定配套实施方案。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（2）配合采购人各类重大活动现场保洁、秩序维护、会务保障等。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服务人员要求</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（1）每季度至少开展1次岗位技能、职业素质、服务知识、客户文化、绿色节能环保等教育培训，并进行适当形式的考核。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18" w:type="dxa"/>
            <w:vMerge w:val="continue"/>
            <w:vAlign w:val="center"/>
          </w:tcPr>
          <w:p>
            <w:pPr>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如采购人认为服务人员不适应岗位要求或存在其他影响工作的，可要求供应商进行调换。如因供应商原因对服务人员进行调换，应当经采购人同意。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（4）着装分类统一，佩戴标识。仪容整洁、姿态端正、举止文明。用语文明礼貌，态度温和耐心。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保密和思想政治教育</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（1）建立保密管理制度。制度内容应当包括但不限于：①明确重点要害岗位保密职责。②对涉密工作岗位的保密要求。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（2）发现服务人员违法违规或重大过失，及时报告采购人，并采取必要补救措施。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档案管理</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（1）建立物业信息，准确、及时地对文件资料和服务记录进行归档保存，并确保其物理安全。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档案和记录齐全，包括但不限于：①采购人建议与投诉等。教育培训和考核记录。保密、思想政治教育培训记录。②保洁服务：工作日志、清洁检查表、用品清单、客户反馈表等；③绿化服务：绿化总平面图、清洁整改记录、消杀记录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（3）遵守采购人的信息、档案资料保密要求，未经许可，不得将建筑物平面图等资料转作其他用途或向其他单位、个人提供。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（4）履约结束后，相关资料交还采购人，采购人按政府采购相关规定存档。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服务改进</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（1）明确负责人，定期对物业服务过程进行自查，结合反馈意见与评价结果采取改进措施，持续提升管理与服务水平。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（2）对不合格服务进行控制，对不合格服务的原因进行识别和分析，及时采取纠正措施，消除不合格的原因，防止不合格再发生。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（3）需整改问题及时整改完成。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服务方案及工作制度</w:t>
            </w:r>
          </w:p>
        </w:tc>
        <w:tc>
          <w:tcPr>
            <w:tcW w:w="6392" w:type="dxa"/>
            <w:vAlign w:val="center"/>
          </w:tcPr>
          <w:p>
            <w:pPr>
              <w:widowControl/>
              <w:spacing w:line="360" w:lineRule="exact"/>
              <w:ind w:firstLine="21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（1）制定工作制度，</w:t>
            </w:r>
            <w:r>
              <w:rPr>
                <w:rFonts w:hint="eastAsia" w:ascii="宋体" w:hAnsi="宋体" w:eastAsia="宋体" w:cs="宋体"/>
                <w:bCs/>
                <w:color w:val="auto"/>
                <w:sz w:val="24"/>
                <w:szCs w:val="24"/>
                <w:highlight w:val="none"/>
              </w:rPr>
              <w:t>主要包括：人员录用制度、</w:t>
            </w:r>
            <w:r>
              <w:rPr>
                <w:rFonts w:hint="eastAsia" w:ascii="宋体" w:hAnsi="宋体" w:eastAsia="宋体" w:cs="宋体"/>
                <w:color w:val="auto"/>
                <w:sz w:val="24"/>
                <w:szCs w:val="24"/>
                <w:highlight w:val="none"/>
              </w:rPr>
              <w:t>档案管理制度、</w:t>
            </w:r>
            <w:r>
              <w:rPr>
                <w:rFonts w:hint="eastAsia" w:ascii="宋体" w:hAnsi="宋体" w:eastAsia="宋体" w:cs="宋体"/>
                <w:bCs/>
                <w:color w:val="auto"/>
                <w:sz w:val="24"/>
                <w:szCs w:val="24"/>
                <w:highlight w:val="none"/>
              </w:rPr>
              <w:t>物业服务管理制度、</w:t>
            </w:r>
            <w:r>
              <w:rPr>
                <w:rFonts w:hint="eastAsia" w:ascii="宋体" w:hAnsi="宋体" w:eastAsia="宋体" w:cs="宋体"/>
                <w:color w:val="auto"/>
                <w:sz w:val="24"/>
                <w:szCs w:val="24"/>
                <w:highlight w:val="none"/>
              </w:rPr>
              <w:t>公用设施设备相关管理制度等</w:t>
            </w:r>
            <w:r>
              <w:rPr>
                <w:rFonts w:hint="eastAsia" w:ascii="宋体" w:hAnsi="宋体" w:eastAsia="宋体" w:cs="宋体"/>
                <w:bCs/>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（2）制定</w:t>
            </w:r>
            <w:r>
              <w:rPr>
                <w:rFonts w:hint="eastAsia" w:ascii="宋体" w:hAnsi="宋体" w:eastAsia="宋体" w:cs="宋体"/>
                <w:bCs/>
                <w:color w:val="auto"/>
                <w:sz w:val="24"/>
                <w:szCs w:val="24"/>
                <w:highlight w:val="none"/>
              </w:rPr>
              <w:t>项目实施方案，主要包括：交接方案、人员培训方案、人员稳定性方案、保密方案等。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（3）制定</w:t>
            </w:r>
            <w:r>
              <w:rPr>
                <w:rFonts w:hint="eastAsia" w:ascii="宋体" w:hAnsi="宋体" w:eastAsia="宋体" w:cs="宋体"/>
                <w:bCs/>
                <w:color w:val="auto"/>
                <w:sz w:val="24"/>
                <w:szCs w:val="24"/>
                <w:highlight w:val="none"/>
              </w:rPr>
              <w:t>物业服务方案，主要包括：绿化服务方案、保洁服务方案、管理服务方案等。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18" w:type="dxa"/>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663" w:type="dxa"/>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物品出入服务</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大件物品出入向采购人报告，待采购人确认无误后放行。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663"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服务热线及紧急维修</w:t>
            </w: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（1）相关服务人员须保持24小时电话畅通，响应服务需求。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18"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3"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392"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（2）紧急维修应当1小时内到达现场，不间断维修直至修复。</w:t>
            </w:r>
          </w:p>
        </w:tc>
      </w:tr>
    </w:tbl>
    <w:p>
      <w:pPr>
        <w:pStyle w:val="744"/>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3.2绿化管养服务</w:t>
      </w:r>
    </w:p>
    <w:tbl>
      <w:tblPr>
        <w:tblStyle w:val="3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1661"/>
        <w:gridCol w:w="68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91" w:type="dxa"/>
            <w:vAlign w:val="center"/>
          </w:tcPr>
          <w:p>
            <w:pPr>
              <w:widowControl/>
              <w:spacing w:line="3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661" w:type="dxa"/>
            <w:vAlign w:val="center"/>
          </w:tcPr>
          <w:p>
            <w:pPr>
              <w:widowControl/>
              <w:spacing w:line="3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服务内容</w:t>
            </w:r>
          </w:p>
        </w:tc>
        <w:tc>
          <w:tcPr>
            <w:tcW w:w="6836" w:type="dxa"/>
            <w:vAlign w:val="center"/>
          </w:tcPr>
          <w:p>
            <w:pPr>
              <w:widowControl/>
              <w:spacing w:line="3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1" w:type="dxa"/>
            <w:vMerge w:val="restart"/>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61" w:type="dxa"/>
            <w:vMerge w:val="restart"/>
            <w:vAlign w:val="center"/>
          </w:tcPr>
          <w:p>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绿化管养</w:t>
            </w:r>
          </w:p>
        </w:tc>
        <w:tc>
          <w:tcPr>
            <w:tcW w:w="6836"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（1）每年绿化草坪、绿篱、珠形、花园、乔灌木及时修剪并负责绿化垃圾清运及处置。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1"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1"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836"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（2）施肥根据苗木按需求而定，高大树木必须根据采购人要求打穴深施。肥料由采购人承担购买。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91"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1"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836"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（3）农药根据苗木、花草季节性病虫害实际情况及时防治。农药由</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购买并承担费用，</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做好病虫害防治工作，避免出现病虫害集中爆发。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1"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1"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836"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做好管养的苗圃、绿地、草坪、树木等清枯枝、清死树、磨叉、除草、施肥、修剪、治虫、过冬保暖等维护工作，确保花草、苗木生长良好，无缺水等现象。对倒伏苗木、大树及时扶正加固，并保证成活、修剪后苗木的整体艺术效果。对院内苗木、大树抽稀、分栽、补植、移植（乔木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1" w:type="dxa"/>
            <w:vMerge w:val="continue"/>
            <w:vAlign w:val="center"/>
          </w:tcPr>
          <w:p>
            <w:pPr>
              <w:widowControl/>
              <w:spacing w:line="360" w:lineRule="exact"/>
              <w:jc w:val="center"/>
              <w:rPr>
                <w:rFonts w:hint="eastAsia" w:ascii="宋体" w:hAnsi="宋体" w:eastAsia="宋体" w:cs="宋体"/>
                <w:color w:val="auto"/>
                <w:sz w:val="24"/>
                <w:szCs w:val="24"/>
                <w:highlight w:val="none"/>
              </w:rPr>
            </w:pPr>
          </w:p>
        </w:tc>
        <w:tc>
          <w:tcPr>
            <w:tcW w:w="1661" w:type="dxa"/>
            <w:vMerge w:val="continue"/>
            <w:vAlign w:val="center"/>
          </w:tcPr>
          <w:p>
            <w:pPr>
              <w:widowControl/>
              <w:spacing w:line="360" w:lineRule="exact"/>
              <w:rPr>
                <w:rFonts w:hint="eastAsia" w:ascii="宋体" w:hAnsi="宋体" w:eastAsia="宋体" w:cs="宋体"/>
                <w:color w:val="auto"/>
                <w:sz w:val="24"/>
                <w:szCs w:val="24"/>
                <w:highlight w:val="none"/>
              </w:rPr>
            </w:pPr>
          </w:p>
        </w:tc>
        <w:tc>
          <w:tcPr>
            <w:tcW w:w="6836"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养护过程中应及时清理干净各类垃圾，保持整洁、卫生。应同时清除碎石和杂草，有影响排水的局部区域应及时处理。养护过程中需要的吊车、挖机、洒水车等设施设备费用由供应商负责，不再另行支付额外费用。因施肥、施药、除草、浇水不当导致苗木损失，由中标方承担赔偿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1" w:type="dxa"/>
            <w:vAlign w:val="center"/>
          </w:tcPr>
          <w:p>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61"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养护标准</w:t>
            </w:r>
          </w:p>
        </w:tc>
        <w:tc>
          <w:tcPr>
            <w:tcW w:w="6836" w:type="dxa"/>
            <w:vAlign w:val="center"/>
          </w:tcPr>
          <w:p>
            <w:pPr>
              <w:widowControl/>
              <w:spacing w:line="360" w:lineRule="exact"/>
              <w:ind w:firstLine="2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参照《宿迁市园林绿化养护管理标准》中的二级绿化养护标准相关标准要求。</w:t>
            </w:r>
          </w:p>
        </w:tc>
      </w:tr>
    </w:tbl>
    <w:p>
      <w:pPr>
        <w:keepNext/>
        <w:keepLines/>
        <w:pageBreakBefore w:val="0"/>
        <w:widowControl w:val="0"/>
        <w:kinsoku/>
        <w:wordWrap/>
        <w:overflowPunct/>
        <w:topLinePunct w:val="0"/>
        <w:autoSpaceDE/>
        <w:autoSpaceDN/>
        <w:bidi w:val="0"/>
        <w:adjustRightInd/>
        <w:snapToGrid/>
        <w:spacing w:before="0" w:after="0" w:line="360" w:lineRule="auto"/>
        <w:ind w:firstLine="482" w:firstLineChars="200"/>
        <w:jc w:val="both"/>
        <w:textAlignment w:val="auto"/>
        <w:outlineLvl w:val="2"/>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3.3保洁服务</w:t>
      </w:r>
    </w:p>
    <w:tbl>
      <w:tblPr>
        <w:tblStyle w:val="37"/>
        <w:tblpPr w:leftFromText="180" w:rightFromText="180" w:vertAnchor="text" w:horzAnchor="page" w:tblpX="1669" w:tblpY="466"/>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6"/>
        <w:gridCol w:w="2010"/>
        <w:gridCol w:w="66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6" w:type="dxa"/>
            <w:vAlign w:val="center"/>
          </w:tcPr>
          <w:p>
            <w:pPr>
              <w:widowControl/>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010" w:type="dxa"/>
            <w:vAlign w:val="center"/>
          </w:tcPr>
          <w:p>
            <w:pPr>
              <w:widowControl/>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服务内容</w:t>
            </w:r>
          </w:p>
        </w:tc>
        <w:tc>
          <w:tcPr>
            <w:tcW w:w="6635" w:type="dxa"/>
            <w:vAlign w:val="center"/>
          </w:tcPr>
          <w:p>
            <w:pPr>
              <w:widowControl/>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010"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基本要求</w:t>
            </w: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（1）建立保洁服务的工作制度及工作计划，并按照执行。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（2）做好保洁服务工作记录，记录填写规范、保存完好。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（3）作业时采取安全防护措施，防止对作业人员或他人造成伤害。相关耗材的环保、安全性等应当符合国家相关规定要求。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7" w:hRule="atLeast"/>
        </w:trPr>
        <w:tc>
          <w:tcPr>
            <w:tcW w:w="626"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010"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办公区域保洁</w:t>
            </w: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（1）大厅、楼内公共通道：</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①公共通道保持干净，无异味、无杂物、无积水，每日至少开展2次清洁作业。</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②门窗玻璃干净无尘，透光性好，每周至少开展1次清洁作业。</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③指示牌、公告栏干净，无污渍，每周至少开展1次清洁作业。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（2）电器、消防等设施设备：</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①配电箱、设备机房、会议室音视频设备、消防栓及开关插座等保持表面干净，无尘无污迹，每</w:t>
            </w:r>
            <w:r>
              <w:rPr>
                <w:rFonts w:hint="eastAsia" w:ascii="宋体" w:hAnsi="宋体" w:cs="宋体"/>
                <w:color w:val="auto"/>
                <w:kern w:val="0"/>
                <w:sz w:val="24"/>
                <w:szCs w:val="24"/>
                <w:highlight w:val="none"/>
                <w:lang w:val="en-US" w:eastAsia="zh-CN"/>
              </w:rPr>
              <w:t>周</w:t>
            </w:r>
            <w:r>
              <w:rPr>
                <w:rFonts w:hint="eastAsia" w:ascii="宋体" w:hAnsi="宋体" w:eastAsia="宋体" w:cs="宋体"/>
                <w:color w:val="auto"/>
                <w:kern w:val="0"/>
                <w:sz w:val="24"/>
                <w:szCs w:val="24"/>
                <w:highlight w:val="none"/>
              </w:rPr>
              <w:t>至少开展1次清洁作业。</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②监控摄像头、门禁系统等表面光亮，无尘、无斑点，每月至少开展1次清洁作业。</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③直饮机，每日至少开展2次清洁作业，确保周边干净整洁无积水。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（3）楼梯、扶手、楼梯间保持干净、无异味、无杂物、无积水，每日至少开展2次清洁作业。各楼梯间墙面、天花板每周除尘1次。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（4）工具间：</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①保持干净，无异味、无杂物、无积水，每日至少开展1次</w:t>
            </w:r>
            <w:r>
              <w:rPr>
                <w:rFonts w:hint="eastAsia" w:ascii="宋体" w:hAnsi="宋体" w:eastAsia="宋体" w:cs="宋体"/>
                <w:color w:val="auto"/>
                <w:kern w:val="0"/>
                <w:sz w:val="24"/>
                <w:szCs w:val="24"/>
                <w:highlight w:val="none"/>
                <w:lang w:eastAsia="zh-CN"/>
              </w:rPr>
              <w:t>详实</w:t>
            </w:r>
            <w:r>
              <w:rPr>
                <w:rFonts w:hint="eastAsia" w:ascii="宋体" w:hAnsi="宋体" w:eastAsia="宋体" w:cs="宋体"/>
                <w:color w:val="auto"/>
                <w:kern w:val="0"/>
                <w:sz w:val="24"/>
                <w:szCs w:val="24"/>
                <w:highlight w:val="none"/>
              </w:rPr>
              <w:t>清洁作业。</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②作业工具摆放整齐有序，表面干净无渍，每日消毒。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（5）公共卫生间：</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①保持干净，无异味，垃圾无溢出，每日至少开展1次</w:t>
            </w:r>
            <w:r>
              <w:rPr>
                <w:rFonts w:hint="eastAsia" w:ascii="宋体" w:hAnsi="宋体" w:eastAsia="宋体" w:cs="宋体"/>
                <w:color w:val="auto"/>
                <w:kern w:val="0"/>
                <w:sz w:val="24"/>
                <w:szCs w:val="24"/>
                <w:highlight w:val="none"/>
                <w:lang w:eastAsia="zh-CN"/>
              </w:rPr>
              <w:t>详实</w:t>
            </w:r>
            <w:r>
              <w:rPr>
                <w:rFonts w:hint="eastAsia" w:ascii="宋体" w:hAnsi="宋体" w:eastAsia="宋体" w:cs="宋体"/>
                <w:color w:val="auto"/>
                <w:kern w:val="0"/>
                <w:sz w:val="24"/>
                <w:szCs w:val="24"/>
                <w:highlight w:val="none"/>
              </w:rPr>
              <w:t>清洁和消毒作业，工作期间保持不间断巡视，至少每</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小时巡视一次。</w:t>
            </w:r>
          </w:p>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②每日两次收垃圾，更换垃圾袋。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（6）平台、屋顶、天沟保持干净，有杂物及时清扫，每月至少开展1次清洁作业。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（7）石材地面、内墙做好养护工作，每季度开展1次清洁作业。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（8）有重大活动时，无论是否为工作日，</w:t>
            </w:r>
            <w:r>
              <w:rPr>
                <w:rFonts w:hint="eastAsia" w:ascii="宋体" w:hAnsi="宋体" w:eastAsia="宋体" w:cs="宋体"/>
                <w:color w:val="auto"/>
                <w:kern w:val="0"/>
                <w:sz w:val="24"/>
                <w:szCs w:val="24"/>
                <w:highlight w:val="none"/>
                <w:lang w:eastAsia="zh-CN"/>
              </w:rPr>
              <w:t>中标（成交）单位</w:t>
            </w:r>
            <w:r>
              <w:rPr>
                <w:rFonts w:hint="eastAsia" w:ascii="宋体" w:hAnsi="宋体" w:eastAsia="宋体" w:cs="宋体"/>
                <w:color w:val="auto"/>
                <w:kern w:val="0"/>
                <w:sz w:val="24"/>
                <w:szCs w:val="24"/>
                <w:highlight w:val="none"/>
              </w:rPr>
              <w:t>要无条件配合做好相关保洁工作，确保完成相关活动。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spacing w:line="360" w:lineRule="exact"/>
              <w:ind w:firstLine="19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（9）会议室、报告厅要定期清洁、巡视和消毒，保证会场清洁整齐；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（10）要提前做好各类考试期间保洁工作，按照要求随时做好清洁服务，考试期间厕所做好通风点香工作，温暖季节确保做好灭蝇防鼠工作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010"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公共场地区域保洁</w:t>
            </w: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（1）每日清扫道路地面、公共区域至少2次，保持干净、无杂物、无积水。按要求定期对室内大面积公共场所进行集中清理。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（2）雪、冰冻等恶劣天气时及时清扫积水、积雪，并采取安全防护措施。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（3）各种</w:t>
            </w:r>
            <w:r>
              <w:rPr>
                <w:rFonts w:hint="eastAsia" w:ascii="宋体" w:hAnsi="宋体" w:eastAsia="宋体" w:cs="宋体"/>
                <w:color w:val="auto"/>
                <w:kern w:val="0"/>
                <w:sz w:val="24"/>
                <w:szCs w:val="24"/>
                <w:highlight w:val="none"/>
                <w:lang w:val="en-US" w:eastAsia="zh-CN"/>
              </w:rPr>
              <w:t>标志</w:t>
            </w:r>
            <w:r>
              <w:rPr>
                <w:rFonts w:hint="eastAsia" w:ascii="宋体" w:hAnsi="宋体" w:eastAsia="宋体" w:cs="宋体"/>
                <w:color w:val="auto"/>
                <w:kern w:val="0"/>
                <w:sz w:val="24"/>
                <w:szCs w:val="24"/>
                <w:highlight w:val="none"/>
              </w:rPr>
              <w:t>、宣传栏等保持干净，每周至少开展1次清洁作业。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（4）清洁室外照明设备，每月至少开展1次清洁作业。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（5）绿地内无杂物、无改变用途和破坏、践踏、占用现象，每天至少开展1次巡查。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010"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垃圾处理</w:t>
            </w: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（1）桶身表面干净无污渍，每日开展至少1次清洁作业。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（2）垃圾分类房保持整洁，无明显异味，每日至少开展1次清洁作业。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（3）垃圾装袋，日产日清。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（4）每个工作日内要对楼层产生的垃圾，进行清理分类，并运至垃圾集中堆放点，并保持周边环境干净整洁。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（5）每日清洗、清洁垃圾收集桶，清洁整理垃圾分类房，严格执行垃圾分类要求。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626" w:type="dxa"/>
            <w:vMerge w:val="restart"/>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010"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卫生消毒</w:t>
            </w: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（1）办公用房区域、公共场所区域和周围环境预防性卫生消毒，消毒后及时通风，每周至少开展1次作业。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8"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（2）采取综合措施消灭老鼠、蟑螂，控制室内外蚊虫孳生，达到基本无蝇，每季度至少开展1次作业。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（3）发生公共卫生事件时，配合专业单位开展消毒、检测等工作。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trPr>
        <w:tc>
          <w:tcPr>
            <w:tcW w:w="626" w:type="dxa"/>
            <w:vMerge w:val="continue"/>
            <w:vAlign w:val="center"/>
          </w:tcPr>
          <w:p>
            <w:pPr>
              <w:widowControl/>
              <w:spacing w:line="360" w:lineRule="exact"/>
              <w:jc w:val="center"/>
              <w:rPr>
                <w:rFonts w:hint="eastAsia" w:ascii="宋体" w:hAnsi="宋体" w:eastAsia="宋体" w:cs="宋体"/>
                <w:color w:val="auto"/>
                <w:kern w:val="0"/>
                <w:sz w:val="24"/>
                <w:szCs w:val="24"/>
                <w:highlight w:val="none"/>
              </w:rPr>
            </w:pPr>
          </w:p>
        </w:tc>
        <w:tc>
          <w:tcPr>
            <w:tcW w:w="2010"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635" w:type="dxa"/>
            <w:vAlign w:val="center"/>
          </w:tcPr>
          <w:p>
            <w:pPr>
              <w:widowControl/>
              <w:spacing w:line="360" w:lineRule="exact"/>
              <w:ind w:firstLine="2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（4）根据卫生防疫部门要求定期进行消毒，并做好消毒记录。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trPr>
        <w:tc>
          <w:tcPr>
            <w:tcW w:w="626" w:type="dxa"/>
            <w:vAlign w:val="center"/>
          </w:tcPr>
          <w:p>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010" w:type="dxa"/>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其他要求</w:t>
            </w:r>
          </w:p>
        </w:tc>
        <w:tc>
          <w:tcPr>
            <w:tcW w:w="6635"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（1）每月至少开展1次公用部位的门、窗、楼梯、通风道、室内地面、墙面、吊顶和室外屋面等巡查，发现破损，及时向采购人报告。</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（2）每月至少开展1次大门、围墙、道路、场地、管井、沟渠等巡查，每月至少开展1次雨污水管井、化粪池等巡查，发现破损，及时向采购人报告并进行维护。</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（3）每</w:t>
            </w:r>
            <w:r>
              <w:rPr>
                <w:rFonts w:hint="eastAsia" w:ascii="宋体" w:hAnsi="宋体" w:cs="宋体"/>
                <w:color w:val="auto"/>
                <w:kern w:val="0"/>
                <w:sz w:val="24"/>
                <w:szCs w:val="24"/>
                <w:highlight w:val="none"/>
                <w:lang w:val="en-US" w:eastAsia="zh-CN"/>
              </w:rPr>
              <w:t>年</w:t>
            </w:r>
            <w:r>
              <w:rPr>
                <w:rFonts w:hint="eastAsia" w:ascii="宋体" w:hAnsi="宋体" w:eastAsia="宋体" w:cs="宋体"/>
                <w:color w:val="auto"/>
                <w:kern w:val="0"/>
                <w:sz w:val="24"/>
                <w:szCs w:val="24"/>
                <w:highlight w:val="none"/>
              </w:rPr>
              <w:t>定期进行雨污水管井、化粪池清理，保持畅通、不淤积。</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（4）重大节假日及恶劣天气前后，组织系统巡检。</w:t>
            </w:r>
          </w:p>
        </w:tc>
      </w:tr>
    </w:tbl>
    <w:p>
      <w:pPr>
        <w:keepNext/>
        <w:keepLines/>
        <w:widowControl w:val="0"/>
        <w:spacing w:before="320" w:after="200"/>
        <w:jc w:val="left"/>
        <w:outlineLvl w:val="3"/>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3.4</w:t>
      </w:r>
      <w:r>
        <w:rPr>
          <w:rFonts w:hint="eastAsia" w:ascii="宋体" w:hAnsi="宋体" w:cs="宋体"/>
          <w:b/>
          <w:bCs/>
          <w:color w:val="auto"/>
          <w:kern w:val="2"/>
          <w:sz w:val="24"/>
          <w:szCs w:val="24"/>
          <w:highlight w:val="none"/>
          <w:lang w:val="en-US" w:eastAsia="zh-CN" w:bidi="ar-SA"/>
        </w:rPr>
        <w:t>消控室服务</w:t>
      </w:r>
    </w:p>
    <w:tbl>
      <w:tblPr>
        <w:tblStyle w:val="37"/>
        <w:tblW w:w="928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8"/>
        <w:gridCol w:w="2128"/>
        <w:gridCol w:w="63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8" w:type="dxa"/>
            <w:vAlign w:val="center"/>
          </w:tcPr>
          <w:p>
            <w:pPr>
              <w:widowControl/>
              <w:spacing w:line="360" w:lineRule="auto"/>
              <w:jc w:val="center"/>
              <w:rPr>
                <w:rFonts w:hint="eastAsia" w:ascii="宋体" w:hAnsi="宋体" w:eastAsia="宋体" w:cs="宋体"/>
                <w:b/>
                <w:bCs/>
                <w:color w:val="auto"/>
                <w:kern w:val="0"/>
                <w:szCs w:val="22"/>
                <w:highlight w:val="none"/>
              </w:rPr>
            </w:pPr>
            <w:r>
              <w:rPr>
                <w:rFonts w:hint="eastAsia" w:ascii="宋体" w:hAnsi="宋体" w:eastAsia="宋体" w:cs="宋体"/>
                <w:b/>
                <w:bCs/>
                <w:color w:val="auto"/>
                <w:kern w:val="0"/>
                <w:szCs w:val="22"/>
                <w:highlight w:val="none"/>
              </w:rPr>
              <w:t>序号</w:t>
            </w:r>
          </w:p>
        </w:tc>
        <w:tc>
          <w:tcPr>
            <w:tcW w:w="2128" w:type="dxa"/>
            <w:vAlign w:val="center"/>
          </w:tcPr>
          <w:p>
            <w:pPr>
              <w:widowControl/>
              <w:spacing w:line="360" w:lineRule="auto"/>
              <w:jc w:val="center"/>
              <w:rPr>
                <w:rFonts w:hint="eastAsia" w:ascii="宋体" w:hAnsi="宋体" w:eastAsia="宋体" w:cs="宋体"/>
                <w:b/>
                <w:bCs/>
                <w:color w:val="auto"/>
                <w:kern w:val="0"/>
                <w:szCs w:val="22"/>
                <w:highlight w:val="none"/>
              </w:rPr>
            </w:pPr>
            <w:r>
              <w:rPr>
                <w:rFonts w:hint="eastAsia" w:ascii="宋体" w:hAnsi="宋体" w:eastAsia="宋体" w:cs="宋体"/>
                <w:b/>
                <w:bCs/>
                <w:color w:val="auto"/>
                <w:kern w:val="0"/>
                <w:szCs w:val="22"/>
                <w:highlight w:val="none"/>
              </w:rPr>
              <w:t>服务内容</w:t>
            </w:r>
          </w:p>
        </w:tc>
        <w:tc>
          <w:tcPr>
            <w:tcW w:w="6362" w:type="dxa"/>
            <w:vAlign w:val="center"/>
          </w:tcPr>
          <w:p>
            <w:pPr>
              <w:widowControl/>
              <w:spacing w:line="360" w:lineRule="auto"/>
              <w:jc w:val="center"/>
              <w:rPr>
                <w:rFonts w:hint="eastAsia" w:ascii="宋体" w:hAnsi="宋体" w:eastAsia="宋体" w:cs="宋体"/>
                <w:b/>
                <w:bCs/>
                <w:color w:val="auto"/>
                <w:kern w:val="0"/>
                <w:szCs w:val="22"/>
                <w:highlight w:val="none"/>
              </w:rPr>
            </w:pPr>
            <w:r>
              <w:rPr>
                <w:rFonts w:hint="eastAsia" w:ascii="宋体" w:hAnsi="宋体" w:eastAsia="宋体" w:cs="宋体"/>
                <w:b/>
                <w:bCs/>
                <w:color w:val="auto"/>
                <w:kern w:val="0"/>
                <w:szCs w:val="22"/>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28" w:type="dxa"/>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基本要求</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对巡查、值守及异常情况等做好相关记录，填写规范，保存完好。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出入管理</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（1）主出入口实行24小时值班制。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（2）值班室任何时间段不少于1名工作人员在岗（含节假日）。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（3）在出入口对外来人员及其携带大件物品、外来车辆进行询问和记录，并与相关部门取得联系，同意后方可进入。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（4）大件物品搬出有相关部门开具的证明和清单，经核实后放行。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（5）排查可疑人员，对于不出示证件、不按规定登记、不听劝阻而强行闯入者，及时劝离，必要时通知公安机关进行处理。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（6）配合站工作人员积极引导公安、城管部门护送或自行来站求助人员。严防站内受助人员走失，发现有未经允许擅自离站的受助人员立即阻止。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（8）提供来访接待服务。</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①做好来访人员、车辆进出证件登记，及时通报。</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②严禁无关人员、可疑人员和危险物品进入办公楼（区）内。</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③物品摆放整齐有序、分类放置。</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④现场办理等待时间不超过5分钟，等待较长时间应当及时沟通。</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⑤对来访人员咨询、建议、求助等事项，及时处理或答复，处理和答复率100%。</w:t>
            </w:r>
          </w:p>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⑥与被访人进行核实确认；告知被访人的办公室门牌号；告知访客注意事项（根据实际需要填写注意事项）。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（9）配合作好公安、城管、消防、医护等紧急车辆进出引导。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（10）特殊外来人员做好全程陪同引导。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（11）做好文明值勤、热情服务，注重礼仪礼貌，规范用语，统一规范着装，不得与来访人员发生争吵。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（12）为环卫工、外卖、快递等提供开水、如厕等便利服务。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值班巡查</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（1）建立24小时值班巡查制度。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（2）制定巡查路线，按照指定时间和路线执行，加强重点区域、重点部位及装修区域的巡查。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（3）巡查期间保持通信设施设备畅通，遇到异常情况立即上报并在现场采取相应措施。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（4）收到监控室指令后，巡查人员及时到达指定地点并迅速采取相应措施。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监控值守</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（1）监控室环境符合系统设备运行要求，定期进行检查和检测，确保系统功能正常。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（2）监控设备24小时正常运行。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（3）监控记录画面清晰，视频监控无死角、无盲区。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（4）值班期间遵守操作规程和保密制度，做好监控记录的保存工作。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（5）监控记录保持完整，保存时间不应少于90天。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5"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（6）无关人员进入监控室或查阅监控记录，经授权人批准并做好相关记录。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（7）监控室收到火情等报警信号、其他异常情况信号后，及时报警并安排其他安保人员前往现场进行处理。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车辆停放</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（1）车辆管理实行24小时服务制度，全天候为内部车辆、来访车辆提供引导停放等服务保障。严格遵守车辆停放管理规定，及时引导车辆行驶路线，合理、规范停放。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（2）做好道闸系统的管理，确保使用安全。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（3）加强车位停车引导，正确操作并有序引导，确保停车或出车安全，认真履行安全管理职责。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（4）车辆行驶路线设置合理、规范，导向标志完整、清晰。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（5）合理规划车辆停放区域，张贴车辆引导标识，对车辆及停放区域实行规范管理。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（6）严禁在办公楼的公用走道、楼梯间、安全出口处等公共区域停放车辆或充电。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（7）非机动车定点有序停放。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（8）发现车辆异常情况及时通知车主，并做好登记；发生交通事故、自然灾害等意外事故时及时赶赴现场疏导和协助处理，响应时间不超过3分钟。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消防安全管理</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（1）建立消防安全责任制，确定各级消防安全责任人及其职责。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（2）任何警情均立即响应并处置，必要时启动应急预案。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（3）消火栓、应急照明、应急物资、消防及人员逃生通道、消防车通道可随时正常使用。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（4）易燃易爆品设专区专人管理，做好相关记录。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（5）定期组织消防安全宣传，每季度至少开展1次消防演练。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突发事件处理</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（1）制定突发事件安全责任书，明确突发事件责任人及应承担的安全责任。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（2）建立应急突发事件处置队伍，明确各自的职责。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（3）熟悉AED设备操作，有急救专业知识，遇突发情况能有效处置。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（4）识别、分析各种潜在风险，针对不同风险类型制定相应解决方案，并配备应急物资。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（5）成立应急小分队，积极协助和配合委托方做好群众集会、上访等突发事件，配合做好矛盾化解，安抚情绪，现场秩序维护等相关工作。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（6）每半年至少开展1次突发事件应急演练，并有相应记录。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（7）发生意外事件时，及时采取应急措施，能够进行应急救援，维护办公区域物业服务正常进行，保护人身财产安全。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（8）办公区域物业服务应急预案终止实施后，积极采取措施，在尽可能短的时间内，消除事故带来的不良影响，妥善安置和慰问受害及受影响的人员和部门。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 w:val="24"/>
                <w:szCs w:val="24"/>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（9）事故处理后，及时形成事故应急总结报告，完善应急救援工作方案。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2128" w:type="dxa"/>
            <w:vMerge w:val="restart"/>
            <w:vAlign w:val="center"/>
          </w:tcPr>
          <w:p>
            <w:pPr>
              <w:widowControl/>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大型活动秩序</w:t>
            </w: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（1）制定相应的活动秩序维护方案，合理安排人员，并对场所的安全隐患进行排查。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jc w:val="center"/>
              <w:rPr>
                <w:rFonts w:hint="eastAsia" w:ascii="宋体" w:hAnsi="宋体" w:eastAsia="宋体" w:cs="宋体"/>
                <w:color w:val="auto"/>
                <w:kern w:val="0"/>
                <w:szCs w:val="22"/>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Cs w:val="22"/>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（2）应当保障通道、出入口、停车场等区域畅通。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98" w:type="dxa"/>
            <w:vMerge w:val="continue"/>
            <w:vAlign w:val="center"/>
          </w:tcPr>
          <w:p>
            <w:pPr>
              <w:widowControl/>
              <w:spacing w:line="360" w:lineRule="exact"/>
              <w:jc w:val="center"/>
              <w:rPr>
                <w:rFonts w:hint="eastAsia" w:ascii="宋体" w:hAnsi="宋体" w:eastAsia="宋体" w:cs="宋体"/>
                <w:color w:val="auto"/>
                <w:kern w:val="0"/>
                <w:szCs w:val="22"/>
                <w:highlight w:val="none"/>
              </w:rPr>
            </w:pPr>
          </w:p>
        </w:tc>
        <w:tc>
          <w:tcPr>
            <w:tcW w:w="2128" w:type="dxa"/>
            <w:vMerge w:val="continue"/>
            <w:vAlign w:val="center"/>
          </w:tcPr>
          <w:p>
            <w:pPr>
              <w:widowControl/>
              <w:spacing w:line="360" w:lineRule="exact"/>
              <w:rPr>
                <w:rFonts w:hint="eastAsia" w:ascii="宋体" w:hAnsi="宋体" w:eastAsia="宋体" w:cs="宋体"/>
                <w:color w:val="auto"/>
                <w:kern w:val="0"/>
                <w:szCs w:val="22"/>
                <w:highlight w:val="none"/>
              </w:rPr>
            </w:pPr>
          </w:p>
        </w:tc>
        <w:tc>
          <w:tcPr>
            <w:tcW w:w="6362" w:type="dxa"/>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（3）活动举办过程中，做好现场秩序的维护和突发事故的处置工作，确保活动正常进行。</w:t>
            </w:r>
          </w:p>
        </w:tc>
      </w:tr>
    </w:tbl>
    <w:p>
      <w:pPr>
        <w:keepNext/>
        <w:keepLines/>
        <w:widowControl w:val="0"/>
        <w:spacing w:before="320" w:after="200"/>
        <w:jc w:val="left"/>
        <w:outlineLvl w:val="3"/>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w:t>
      </w:r>
      <w:r>
        <w:rPr>
          <w:rFonts w:hint="eastAsia" w:ascii="宋体" w:hAnsi="宋体" w:cs="宋体"/>
          <w:b/>
          <w:bCs/>
          <w:color w:val="auto"/>
          <w:kern w:val="2"/>
          <w:sz w:val="24"/>
          <w:szCs w:val="24"/>
          <w:highlight w:val="none"/>
          <w:lang w:val="en-US" w:eastAsia="zh-CN" w:bidi="ar-SA"/>
        </w:rPr>
        <w:t>5</w:t>
      </w:r>
      <w:r>
        <w:rPr>
          <w:rFonts w:hint="eastAsia" w:ascii="宋体" w:hAnsi="宋体" w:eastAsia="宋体" w:cs="宋体"/>
          <w:b/>
          <w:bCs/>
          <w:color w:val="auto"/>
          <w:kern w:val="2"/>
          <w:sz w:val="24"/>
          <w:szCs w:val="24"/>
          <w:highlight w:val="none"/>
          <w:lang w:val="en-US" w:eastAsia="zh-CN" w:bidi="ar-SA"/>
        </w:rPr>
        <w:t>具体清洁要求</w:t>
      </w:r>
    </w:p>
    <w:tbl>
      <w:tblPr>
        <w:tblStyle w:val="37"/>
        <w:tblW w:w="93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1753"/>
        <w:gridCol w:w="6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6" w:type="dxa"/>
            <w:vAlign w:val="center"/>
          </w:tcPr>
          <w:p>
            <w:pPr>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753" w:type="dxa"/>
            <w:vAlign w:val="center"/>
          </w:tcPr>
          <w:p>
            <w:pPr>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材质</w:t>
            </w:r>
          </w:p>
        </w:tc>
        <w:tc>
          <w:tcPr>
            <w:tcW w:w="6833" w:type="dxa"/>
            <w:vAlign w:val="center"/>
          </w:tcPr>
          <w:p>
            <w:pPr>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清洁要求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环氧地坪地面</w:t>
            </w: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（1）清理垃圾：清理地面上的垃圾和杂物。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（2）清洗地面：用专业的清洁剂或去污剂清洗地面。清洁剂和去污剂的选取要根据污垢的性质而定。环氧地坪一般使用弱酸性或弱碱性的清洁剂，避免使用酸性或碱性强的清洁剂。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（3）滚刷或颗粒机进行深层清洗：对于顽固沉积物，需要使用滚刷或颗粒机进行深层清洗。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（4）浸泡：将清洁剂或去污剂浸泡在环氧地坪上，加强去除污渍的效果。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（5）冲洗：用清水将地面冲洗干净，以去除残留的清洁剂或去污剂。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耐磨漆地面</w:t>
            </w: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（1）日常清洁：使用软质拖把或地板清洁机，配合清水和中性清洁剂进行清洁。避免使用酸性或碱性清洁剂，以免损坏地面表面。定期清理地面上的污渍和杂物，保持地面干净整洁。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（2）打蜡：为了增加耐磨地面的光亮度和耐磨性，可以进行打蜡处理。使用适合聚氨酯地面的蜡进行均匀涂抹，待蜡干燥后使用抛光机或拖把清理地面，使其变得光滑而有光泽。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瓷砖地面</w:t>
            </w:r>
          </w:p>
        </w:tc>
        <w:tc>
          <w:tcPr>
            <w:tcW w:w="6833" w:type="dxa"/>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（1）日常清洁：推尘，保持地面干净无杂物。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（2）深度清洁：使用洗洁精或肥皂水清理。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石材地面</w:t>
            </w:r>
          </w:p>
        </w:tc>
        <w:tc>
          <w:tcPr>
            <w:tcW w:w="6833" w:type="dxa"/>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（1）根据各区域的人流量及大理石的实际磨损程度制定大理石的晶面保养计划。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（2）启动晶面机，使用中性清洁剂清洁，避免使用强酸或强碱清洁剂，定期进行基础维护。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水磨石地面</w:t>
            </w: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（1）日常清洁：推尘，保持地面干净无杂物。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（2）深度清洁：使用洗洁精或肥皂水清理。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地胶板地面</w:t>
            </w: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（1）定期保养。使用中性清洁剂清洁，避免使用强酸或强碱清洁剂，定期进行基础维护。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（2）日常维护。使用湿润的拖把清洁，污染严重时局部清洁，每月对地胶板地面进行打蜡处理。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地板地面</w:t>
            </w: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（1）定期保养。使用中性清洁剂清洁，避免使用强酸或强碱清洁剂，定期进行基础维护。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（2）日常维护。使用湿润的拖把清洁，污染严重时局部清洁，每月对地板进行打蜡处理。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restart"/>
            <w:vAlign w:val="center"/>
          </w:tcPr>
          <w:p>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1753" w:type="dxa"/>
            <w:vMerge w:val="restart"/>
            <w:vAlign w:val="center"/>
          </w:tcPr>
          <w:p>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地毯地面</w:t>
            </w: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（1）日常用吸尘机除尘，局部脏污用湿布配中性清洁液重点清洁。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86" w:type="dxa"/>
            <w:vMerge w:val="continue"/>
            <w:vAlign w:val="center"/>
          </w:tcPr>
          <w:p>
            <w:pPr>
              <w:spacing w:line="360" w:lineRule="exact"/>
              <w:jc w:val="center"/>
              <w:rPr>
                <w:rFonts w:hint="eastAsia" w:ascii="宋体" w:hAnsi="宋体" w:eastAsia="宋体" w:cs="宋体"/>
                <w:color w:val="auto"/>
                <w:kern w:val="0"/>
                <w:sz w:val="24"/>
                <w:szCs w:val="24"/>
                <w:highlight w:val="none"/>
              </w:rPr>
            </w:pPr>
          </w:p>
        </w:tc>
        <w:tc>
          <w:tcPr>
            <w:tcW w:w="1753" w:type="dxa"/>
            <w:vMerge w:val="continue"/>
            <w:vAlign w:val="center"/>
          </w:tcPr>
          <w:p>
            <w:pPr>
              <w:spacing w:line="360" w:lineRule="exact"/>
              <w:rPr>
                <w:rFonts w:hint="eastAsia" w:ascii="宋体" w:hAnsi="宋体" w:eastAsia="宋体" w:cs="宋体"/>
                <w:color w:val="auto"/>
                <w:kern w:val="0"/>
                <w:sz w:val="24"/>
                <w:szCs w:val="24"/>
                <w:highlight w:val="none"/>
              </w:rPr>
            </w:pPr>
          </w:p>
        </w:tc>
        <w:tc>
          <w:tcPr>
            <w:tcW w:w="6833" w:type="dxa"/>
            <w:vAlign w:val="center"/>
          </w:tcPr>
          <w:p>
            <w:pPr>
              <w:spacing w:line="360" w:lineRule="exact"/>
              <w:ind w:firstLine="21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（2）用地毯清洗机进行整体清洗，除螨。</w:t>
            </w:r>
          </w:p>
        </w:tc>
      </w:tr>
    </w:tbl>
    <w:p>
      <w:pPr>
        <w:pStyle w:val="123"/>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四、考核标准</w:t>
      </w:r>
    </w:p>
    <w:p>
      <w:pPr>
        <w:spacing w:line="480" w:lineRule="exact"/>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（一）考核办法</w:t>
      </w:r>
    </w:p>
    <w:tbl>
      <w:tblPr>
        <w:tblStyle w:val="37"/>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720"/>
        <w:gridCol w:w="6150"/>
        <w:gridCol w:w="13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809" w:type="dxa"/>
            <w:vAlign w:val="center"/>
          </w:tcPr>
          <w:p>
            <w:pPr>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720" w:type="dxa"/>
            <w:vAlign w:val="center"/>
          </w:tcPr>
          <w:p>
            <w:pPr>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150" w:type="dxa"/>
            <w:vAlign w:val="center"/>
          </w:tcPr>
          <w:p>
            <w:pPr>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服务事项及扣分标准</w:t>
            </w:r>
          </w:p>
        </w:tc>
        <w:tc>
          <w:tcPr>
            <w:tcW w:w="1333" w:type="dxa"/>
            <w:vAlign w:val="center"/>
          </w:tcPr>
          <w:p>
            <w:pPr>
              <w:widowControl/>
              <w:spacing w:line="4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扣分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09" w:type="dxa"/>
            <w:vMerge w:val="restart"/>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人员要求</w:t>
            </w: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150" w:type="dxa"/>
            <w:vAlign w:val="center"/>
          </w:tcPr>
          <w:p>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人员数量和资质符合要求，违反扣5分/次。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809" w:type="dxa"/>
            <w:vMerge w:val="continue"/>
            <w:vAlign w:val="center"/>
          </w:tcPr>
          <w:p>
            <w:pPr>
              <w:widowControl/>
              <w:spacing w:line="400" w:lineRule="exact"/>
              <w:jc w:val="left"/>
              <w:rPr>
                <w:rFonts w:hint="eastAsia" w:ascii="宋体" w:hAnsi="宋体" w:eastAsia="宋体" w:cs="宋体"/>
                <w:color w:val="auto"/>
                <w:sz w:val="24"/>
                <w:szCs w:val="24"/>
                <w:highlight w:val="none"/>
              </w:rPr>
            </w:pP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150" w:type="dxa"/>
            <w:vAlign w:val="center"/>
          </w:tcPr>
          <w:p>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工作形象良好，工作期间精神饱满、使用文明用语，不做与工作无关的事情（如聊天、吃东西、玩手机等），违反扣1分/次；严禁酒后上岗，违反扣5分/次。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809" w:type="dxa"/>
            <w:vMerge w:val="restart"/>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服务保障情况</w:t>
            </w: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150" w:type="dxa"/>
            <w:vAlign w:val="center"/>
          </w:tcPr>
          <w:p>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服务人员按时到岗到位，及时响应工作要求，违反扣2分/次。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809" w:type="dxa"/>
            <w:vMerge w:val="continue"/>
            <w:vAlign w:val="center"/>
          </w:tcPr>
          <w:p>
            <w:pPr>
              <w:widowControl/>
              <w:spacing w:line="400" w:lineRule="exact"/>
              <w:jc w:val="left"/>
              <w:rPr>
                <w:rFonts w:hint="eastAsia" w:ascii="宋体" w:hAnsi="宋体" w:eastAsia="宋体" w:cs="宋体"/>
                <w:color w:val="auto"/>
                <w:sz w:val="24"/>
                <w:szCs w:val="24"/>
                <w:highlight w:val="none"/>
              </w:rPr>
            </w:pP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150" w:type="dxa"/>
            <w:vAlign w:val="center"/>
          </w:tcPr>
          <w:p>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各项服务未达到要求和标准的，每项每次扣2分。</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809" w:type="dxa"/>
            <w:vMerge w:val="restart"/>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服务效能</w:t>
            </w: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150" w:type="dxa"/>
            <w:vAlign w:val="center"/>
          </w:tcPr>
          <w:p>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对交办的任务不能按时按质按量完成、上级视察直接批评的，扣2分/次。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9" w:type="dxa"/>
            <w:vMerge w:val="continue"/>
            <w:vAlign w:val="center"/>
          </w:tcPr>
          <w:p>
            <w:pPr>
              <w:widowControl/>
              <w:spacing w:line="400" w:lineRule="exact"/>
              <w:jc w:val="center"/>
              <w:rPr>
                <w:rFonts w:hint="eastAsia" w:ascii="宋体" w:hAnsi="宋体" w:eastAsia="宋体" w:cs="宋体"/>
                <w:color w:val="auto"/>
                <w:sz w:val="24"/>
                <w:szCs w:val="24"/>
                <w:highlight w:val="none"/>
              </w:rPr>
            </w:pP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150" w:type="dxa"/>
            <w:vAlign w:val="center"/>
          </w:tcPr>
          <w:p>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因工作失职，致使服务区域出现财产损失的扣10分/次。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jc w:val="center"/>
        </w:trPr>
        <w:tc>
          <w:tcPr>
            <w:tcW w:w="809" w:type="dxa"/>
            <w:vMerge w:val="restart"/>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奖惩</w:t>
            </w:r>
          </w:p>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事项</w:t>
            </w: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150" w:type="dxa"/>
            <w:vAlign w:val="center"/>
          </w:tcPr>
          <w:p>
            <w:pPr>
              <w:widowControl/>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因做好人好事受到群众表扬并收到表扬信、锦旗等，奖5分/次。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809" w:type="dxa"/>
            <w:vMerge w:val="continue"/>
            <w:vAlign w:val="center"/>
          </w:tcPr>
          <w:p>
            <w:pPr>
              <w:widowControl/>
              <w:spacing w:line="400" w:lineRule="exact"/>
              <w:jc w:val="center"/>
              <w:rPr>
                <w:rFonts w:hint="eastAsia" w:ascii="宋体" w:hAnsi="宋体" w:eastAsia="宋体" w:cs="宋体"/>
                <w:color w:val="auto"/>
                <w:sz w:val="24"/>
                <w:szCs w:val="24"/>
                <w:highlight w:val="none"/>
              </w:rPr>
            </w:pPr>
          </w:p>
        </w:tc>
        <w:tc>
          <w:tcPr>
            <w:tcW w:w="720" w:type="dxa"/>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150" w:type="dxa"/>
            <w:vAlign w:val="center"/>
          </w:tcPr>
          <w:p>
            <w:pPr>
              <w:widowControl/>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文明服务意识差、受到投诉或上级检查产生不良影响的、不能及时制止影响服务对象形象或环境的行为，扣2分/次。</w:t>
            </w:r>
          </w:p>
        </w:tc>
        <w:tc>
          <w:tcPr>
            <w:tcW w:w="1333" w:type="dxa"/>
            <w:vAlign w:val="center"/>
          </w:tcPr>
          <w:p>
            <w:pPr>
              <w:widowControl/>
              <w:spacing w:line="480" w:lineRule="exact"/>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9012" w:type="dxa"/>
            <w:gridSpan w:val="4"/>
            <w:vAlign w:val="center"/>
          </w:tcPr>
          <w:p>
            <w:pPr>
              <w:widowControl/>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实际考评得分：</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分</w:t>
            </w:r>
          </w:p>
        </w:tc>
      </w:tr>
    </w:tbl>
    <w:p>
      <w:pPr>
        <w:pStyle w:val="123"/>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、设备、工具、</w:t>
      </w:r>
      <w:r>
        <w:rPr>
          <w:rFonts w:hint="eastAsia" w:ascii="宋体" w:hAnsi="宋体" w:eastAsia="宋体" w:cs="宋体"/>
          <w:b/>
          <w:bCs w:val="0"/>
          <w:color w:val="auto"/>
          <w:sz w:val="24"/>
          <w:szCs w:val="24"/>
          <w:highlight w:val="none"/>
          <w:lang w:val="zh-CN"/>
        </w:rPr>
        <w:t>服装要求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保洁方面，保洁所需工具和清洁用品由采购人承担，劳保用品（服装、口罩、手套、胶鞋、工牌等）由</w:t>
      </w:r>
      <w:r>
        <w:rPr>
          <w:rFonts w:hint="eastAsia" w:ascii="宋体" w:hAnsi="宋体" w:cs="宋体"/>
          <w:color w:val="auto"/>
          <w:sz w:val="24"/>
          <w:szCs w:val="24"/>
          <w:highlight w:val="none"/>
          <w:lang w:eastAsia="zh-CN"/>
        </w:rPr>
        <w:t>中标（成交）单位</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lang w:val="zh-CN"/>
        </w:rPr>
        <w:t>。</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2、绿化方面，绿化管养所需工具及耗材（包含机械设备、工具、汽油、农药）由</w:t>
      </w:r>
      <w:r>
        <w:rPr>
          <w:rFonts w:hint="eastAsia" w:ascii="宋体" w:hAnsi="宋体" w:cs="宋体"/>
          <w:color w:val="auto"/>
          <w:sz w:val="24"/>
          <w:szCs w:val="24"/>
          <w:highlight w:val="none"/>
          <w:lang w:eastAsia="zh-CN"/>
        </w:rPr>
        <w:t>中标（成交）单位</w:t>
      </w:r>
      <w:r>
        <w:rPr>
          <w:rFonts w:hint="eastAsia" w:ascii="宋体" w:hAnsi="宋体" w:eastAsia="宋体" w:cs="宋体"/>
          <w:color w:val="auto"/>
          <w:sz w:val="24"/>
          <w:szCs w:val="24"/>
          <w:highlight w:val="none"/>
        </w:rPr>
        <w:t>承担。</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、人员服装要求，保持良好的服务精神面貌，项目组成员应着装统一制服，服装整洁合体，穿戴整齐，佩戴工号牌或工作证。</w:t>
      </w:r>
    </w:p>
    <w:p>
      <w:pPr>
        <w:pStyle w:val="123"/>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rPr>
        <w:t>、进退场交接方案及要求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进退场交接方案：</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提供针对本项目特点的进退场交接方案，制定项目交接时间进度安排、具体交接的内容、交接重点难点分析及解决方案，确保项目平稳过渡和正常运行。</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新物业服务企业在进场前进行</w:t>
      </w:r>
      <w:r>
        <w:rPr>
          <w:rFonts w:hint="eastAsia" w:ascii="宋体" w:hAnsi="宋体" w:cs="宋体"/>
          <w:color w:val="auto"/>
          <w:sz w:val="24"/>
          <w:szCs w:val="24"/>
          <w:highlight w:val="none"/>
          <w:lang w:val="zh-CN"/>
        </w:rPr>
        <w:t>详实</w:t>
      </w:r>
      <w:r>
        <w:rPr>
          <w:rFonts w:hint="eastAsia" w:ascii="宋体" w:hAnsi="宋体" w:eastAsia="宋体" w:cs="宋体"/>
          <w:color w:val="auto"/>
          <w:sz w:val="24"/>
          <w:szCs w:val="24"/>
          <w:highlight w:val="none"/>
          <w:lang w:val="zh-CN"/>
        </w:rPr>
        <w:t>勘查，了解设施设备、环境、安全等情况。</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新物业服务企业应对员工进行岗前培训，确保熟悉管理制度和服务标准。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退场物业服务企业应整理好所有相关资料，包括设备档案、维修记录、合同等。</w:t>
      </w:r>
    </w:p>
    <w:p>
      <w:pPr>
        <w:pStyle w:val="123"/>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rPr>
        <w:t>、重大活动保障</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（1）制订流程。配合采购人制订重大活动后勤保障工作流程，需对任务进行详细了解，并根据工作安排制定详细的后勤保障计划。</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（2）实施保障。按</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zh-CN"/>
        </w:rPr>
        <w:t>在关键区域和重点部位</w:t>
      </w:r>
      <w:r>
        <w:rPr>
          <w:rFonts w:hint="eastAsia" w:ascii="宋体" w:hAnsi="宋体" w:eastAsia="宋体" w:cs="宋体"/>
          <w:color w:val="auto"/>
          <w:sz w:val="24"/>
          <w:szCs w:val="24"/>
          <w:highlight w:val="none"/>
        </w:rPr>
        <w:t>做好环境保洁及</w:t>
      </w:r>
      <w:r>
        <w:rPr>
          <w:rFonts w:hint="eastAsia" w:ascii="宋体" w:hAnsi="宋体" w:cs="宋体"/>
          <w:color w:val="auto"/>
          <w:sz w:val="24"/>
          <w:szCs w:val="24"/>
          <w:highlight w:val="none"/>
          <w:lang w:eastAsia="zh-CN"/>
        </w:rPr>
        <w:t>消防保障工作</w:t>
      </w:r>
      <w:r>
        <w:rPr>
          <w:rFonts w:hint="eastAsia" w:ascii="宋体" w:hAnsi="宋体" w:eastAsia="宋体" w:cs="宋体"/>
          <w:color w:val="auto"/>
          <w:sz w:val="24"/>
          <w:szCs w:val="24"/>
          <w:highlight w:val="none"/>
          <w:lang w:val="zh-CN"/>
        </w:rPr>
        <w:t>，确保任务顺利进行，对活动区域进行</w:t>
      </w:r>
      <w:r>
        <w:rPr>
          <w:rFonts w:hint="eastAsia" w:ascii="宋体" w:hAnsi="宋体" w:cs="宋体"/>
          <w:color w:val="auto"/>
          <w:sz w:val="24"/>
          <w:szCs w:val="24"/>
          <w:highlight w:val="none"/>
          <w:lang w:val="zh-CN"/>
        </w:rPr>
        <w:t>详实</w:t>
      </w:r>
      <w:r>
        <w:rPr>
          <w:rFonts w:hint="eastAsia" w:ascii="宋体" w:hAnsi="宋体" w:eastAsia="宋体" w:cs="宋体"/>
          <w:color w:val="auto"/>
          <w:sz w:val="24"/>
          <w:szCs w:val="24"/>
          <w:highlight w:val="none"/>
          <w:lang w:val="zh-CN"/>
        </w:rPr>
        <w:t>安全检查，发现并排除安全隐患，以礼貌、专业的态度对待来宾，展现良好形象。</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（3）收尾工作。对现场进行检查，做好清理工作。</w:t>
      </w:r>
    </w:p>
    <w:p>
      <w:pPr>
        <w:pStyle w:val="123"/>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rPr>
        <w:t>、报价要求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zh-CN"/>
        </w:rPr>
        <w:t>供应商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rPr>
          <w:rFonts w:hint="eastAsia" w:ascii="宋体" w:hAnsi="宋体" w:eastAsia="宋体" w:cs="宋体"/>
          <w:color w:val="auto"/>
          <w:sz w:val="24"/>
          <w:szCs w:val="24"/>
          <w:highlight w:val="none"/>
          <w:lang w:val="zh-CN"/>
        </w:rPr>
        <w:t>。</w:t>
      </w:r>
    </w:p>
    <w:p>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p>
    <w:p>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zh-CN"/>
        </w:rPr>
        <w:t>、</w:t>
      </w:r>
      <w:r>
        <w:rPr>
          <w:rFonts w:hint="eastAsia" w:ascii="宋体" w:hAnsi="宋体" w:cs="宋体"/>
          <w:b/>
          <w:bCs/>
          <w:color w:val="auto"/>
          <w:sz w:val="24"/>
          <w:szCs w:val="24"/>
          <w:highlight w:val="none"/>
          <w:lang w:val="zh-CN"/>
        </w:rPr>
        <w:t>供应商</w:t>
      </w:r>
      <w:r>
        <w:rPr>
          <w:rFonts w:hint="eastAsia" w:ascii="宋体" w:hAnsi="宋体" w:eastAsia="宋体" w:cs="宋体"/>
          <w:b/>
          <w:bCs/>
          <w:color w:val="auto"/>
          <w:sz w:val="24"/>
          <w:szCs w:val="24"/>
          <w:highlight w:val="none"/>
          <w:lang w:val="zh-CN"/>
        </w:rPr>
        <w:t>应在投标分项报价表中为项目组所有成员填报、购买意外险（或雇主责任险）。否则，按无效标处理。</w:t>
      </w:r>
    </w:p>
    <w:p>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rPr>
        <w:t>、</w:t>
      </w:r>
      <w:r>
        <w:rPr>
          <w:rFonts w:hint="eastAsia" w:ascii="宋体" w:hAnsi="宋体" w:cs="宋体"/>
          <w:b/>
          <w:bCs/>
          <w:color w:val="auto"/>
          <w:sz w:val="24"/>
          <w:szCs w:val="24"/>
          <w:highlight w:val="none"/>
          <w:lang w:val="zh-CN"/>
        </w:rPr>
        <w:t>供应商</w:t>
      </w:r>
      <w:r>
        <w:rPr>
          <w:rFonts w:hint="eastAsia" w:ascii="宋体" w:hAnsi="宋体" w:eastAsia="宋体" w:cs="宋体"/>
          <w:b/>
          <w:bCs/>
          <w:color w:val="auto"/>
          <w:sz w:val="24"/>
          <w:szCs w:val="24"/>
          <w:highlight w:val="none"/>
          <w:lang w:val="zh-CN"/>
        </w:rPr>
        <w:t>应在投标分项报价表中为消控室值班人员2人，全额填报、购买社保，否则，按无效标处理。</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下表为宿迁市社保最低缴纳标准，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应按不低于此标准报价。社保缴纳应当符合行政主管部门相关规定。如遇政策调整，</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tbl>
      <w:tblPr>
        <w:tblStyle w:val="37"/>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vAlign w:val="center"/>
          </w:tcPr>
          <w:p>
            <w:pPr>
              <w:pStyle w:val="611"/>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21" w:type="dxa"/>
            <w:vAlign w:val="center"/>
          </w:tcPr>
          <w:p>
            <w:pPr>
              <w:pStyle w:val="611"/>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6167" w:type="dxa"/>
            <w:vAlign w:val="center"/>
          </w:tcPr>
          <w:p>
            <w:pPr>
              <w:pStyle w:val="611"/>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计算公式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vAlign w:val="center"/>
          </w:tcPr>
          <w:p>
            <w:pPr>
              <w:pStyle w:val="611"/>
              <w:spacing w:line="500" w:lineRule="exact"/>
              <w:ind w:firstLine="24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21" w:type="dxa"/>
            <w:vAlign w:val="center"/>
          </w:tcPr>
          <w:p>
            <w:pPr>
              <w:pStyle w:val="611"/>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单位社保缴纳标准及费用</w:t>
            </w:r>
          </w:p>
        </w:tc>
        <w:tc>
          <w:tcPr>
            <w:tcW w:w="6167" w:type="dxa"/>
            <w:vAlign w:val="center"/>
          </w:tcPr>
          <w:p>
            <w:pPr>
              <w:pStyle w:val="611"/>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缴费基数（≥</w:t>
            </w:r>
            <w:r>
              <w:rPr>
                <w:rFonts w:hint="eastAsia" w:ascii="宋体" w:hAnsi="宋体" w:eastAsia="宋体" w:cs="宋体"/>
                <w:color w:val="auto"/>
                <w:sz w:val="24"/>
                <w:szCs w:val="24"/>
                <w:highlight w:val="none"/>
                <w:lang w:val="en-US" w:eastAsia="zh-CN"/>
              </w:rPr>
              <w:t>4952</w:t>
            </w:r>
            <w:r>
              <w:rPr>
                <w:rFonts w:hint="eastAsia" w:ascii="宋体" w:hAnsi="宋体" w:eastAsia="宋体" w:cs="宋体"/>
                <w:color w:val="auto"/>
                <w:sz w:val="24"/>
                <w:szCs w:val="24"/>
                <w:highlight w:val="none"/>
              </w:rPr>
              <w:t>）*【16%（养老保险）＋0.5%（失业险）＋7%（医疗保险）＋1%（生育险）+0.4%（工伤险）】+5</w:t>
            </w:r>
          </w:p>
        </w:tc>
      </w:tr>
    </w:tbl>
    <w:p>
      <w:pPr>
        <w:pageBreakBefore w:val="0"/>
        <w:kinsoku/>
        <w:wordWrap/>
        <w:overflowPunct/>
        <w:topLinePunct w:val="0"/>
        <w:autoSpaceDE/>
        <w:autoSpaceDN/>
        <w:bidi w:val="0"/>
        <w:adjustRightInd/>
        <w:snapToGrid/>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
          <w:iCs/>
          <w:color w:val="auto"/>
          <w:sz w:val="24"/>
          <w:szCs w:val="24"/>
          <w:highlight w:val="none"/>
          <w:lang w:bidi="zh-CN"/>
        </w:rPr>
        <w:t>注:社保金额≥</w:t>
      </w:r>
      <w:r>
        <w:rPr>
          <w:rFonts w:hint="eastAsia" w:ascii="宋体" w:hAnsi="宋体" w:eastAsia="宋体" w:cs="宋体"/>
          <w:b/>
          <w:iCs/>
          <w:color w:val="auto"/>
          <w:sz w:val="24"/>
          <w:szCs w:val="24"/>
          <w:highlight w:val="none"/>
          <w:lang w:val="en-US" w:bidi="zh-CN"/>
        </w:rPr>
        <w:t>1238.048</w:t>
      </w:r>
      <w:r>
        <w:rPr>
          <w:rFonts w:hint="eastAsia" w:ascii="宋体" w:hAnsi="宋体" w:eastAsia="宋体" w:cs="宋体"/>
          <w:b/>
          <w:iCs/>
          <w:color w:val="auto"/>
          <w:sz w:val="24"/>
          <w:szCs w:val="24"/>
          <w:highlight w:val="none"/>
          <w:lang w:bidi="zh-CN"/>
        </w:rPr>
        <w:t>(</w:t>
      </w:r>
      <w:r>
        <w:rPr>
          <w:rFonts w:hint="eastAsia" w:ascii="宋体" w:hAnsi="宋体" w:eastAsia="宋体" w:cs="宋体"/>
          <w:b/>
          <w:iCs/>
          <w:color w:val="auto"/>
          <w:sz w:val="24"/>
          <w:szCs w:val="24"/>
          <w:highlight w:val="none"/>
          <w:lang w:val="en-US" w:bidi="zh-CN"/>
        </w:rPr>
        <w:t>4952</w:t>
      </w:r>
      <w:r>
        <w:rPr>
          <w:rFonts w:hint="eastAsia" w:ascii="宋体" w:hAnsi="宋体" w:eastAsia="宋体" w:cs="宋体"/>
          <w:b/>
          <w:iCs/>
          <w:color w:val="auto"/>
          <w:sz w:val="24"/>
          <w:szCs w:val="24"/>
          <w:highlight w:val="none"/>
          <w:lang w:bidi="zh-CN"/>
        </w:rPr>
        <w:t>*24.9%+5)，因报价最多保留至小数点后两位，故该项最小有效数值为</w:t>
      </w:r>
      <w:r>
        <w:rPr>
          <w:rFonts w:hint="eastAsia" w:ascii="宋体" w:hAnsi="宋体" w:eastAsia="宋体" w:cs="宋体"/>
          <w:b/>
          <w:iCs/>
          <w:color w:val="auto"/>
          <w:sz w:val="24"/>
          <w:szCs w:val="24"/>
          <w:highlight w:val="none"/>
          <w:lang w:val="en-US" w:bidi="zh-CN"/>
        </w:rPr>
        <w:t>1238.05</w:t>
      </w:r>
      <w:r>
        <w:rPr>
          <w:rFonts w:hint="eastAsia" w:ascii="宋体" w:hAnsi="宋体" w:eastAsia="宋体" w:cs="宋体"/>
          <w:b/>
          <w:iCs/>
          <w:color w:val="auto"/>
          <w:sz w:val="24"/>
          <w:szCs w:val="24"/>
          <w:highlight w:val="none"/>
          <w:lang w:bidi="zh-CN"/>
        </w:rPr>
        <w:t>元，例如：（1）某岗位人员月工资4500元，社保金额则为</w:t>
      </w:r>
      <w:r>
        <w:rPr>
          <w:rFonts w:hint="eastAsia" w:ascii="宋体" w:hAnsi="宋体" w:eastAsia="宋体" w:cs="宋体"/>
          <w:b/>
          <w:iCs/>
          <w:color w:val="auto"/>
          <w:sz w:val="24"/>
          <w:szCs w:val="24"/>
          <w:highlight w:val="none"/>
          <w:lang w:val="en-US" w:bidi="zh-CN"/>
        </w:rPr>
        <w:t>4952</w:t>
      </w:r>
      <w:r>
        <w:rPr>
          <w:rFonts w:hint="eastAsia" w:ascii="宋体" w:hAnsi="宋体" w:eastAsia="宋体" w:cs="宋体"/>
          <w:b/>
          <w:iCs/>
          <w:color w:val="auto"/>
          <w:sz w:val="24"/>
          <w:szCs w:val="24"/>
          <w:highlight w:val="none"/>
          <w:lang w:bidi="zh-CN"/>
        </w:rPr>
        <w:t>*24.9%+5=</w:t>
      </w:r>
      <w:r>
        <w:rPr>
          <w:rFonts w:hint="eastAsia" w:ascii="宋体" w:hAnsi="宋体" w:eastAsia="宋体" w:cs="宋体"/>
          <w:b/>
          <w:iCs/>
          <w:color w:val="auto"/>
          <w:sz w:val="24"/>
          <w:szCs w:val="24"/>
          <w:highlight w:val="none"/>
          <w:lang w:val="en-US" w:bidi="zh-CN"/>
        </w:rPr>
        <w:t>1238.05</w:t>
      </w:r>
      <w:r>
        <w:rPr>
          <w:rFonts w:hint="eastAsia" w:ascii="宋体" w:hAnsi="宋体" w:eastAsia="宋体" w:cs="宋体"/>
          <w:b/>
          <w:iCs/>
          <w:color w:val="auto"/>
          <w:sz w:val="24"/>
          <w:szCs w:val="24"/>
          <w:highlight w:val="none"/>
          <w:lang w:bidi="zh-CN"/>
        </w:rPr>
        <w:t>元；（2）某岗位人员月工资10000元，社保金额则为10000*24.9%+5=2495元。</w:t>
      </w:r>
    </w:p>
    <w:p>
      <w:pPr>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、为保证服务队伍的整体素质和相对稳定性，</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应充分考虑管理和服务人员的工资待遇。</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要综合考虑宿迁劳动市场因素，激发员工积极性，不同岗位合理分配工资。</w:t>
      </w:r>
    </w:p>
    <w:p>
      <w:pPr>
        <w:pStyle w:val="333"/>
        <w:pageBreakBefore w:val="0"/>
        <w:widowControl/>
        <w:kinsoku/>
        <w:wordWrap/>
        <w:overflowPunct/>
        <w:topLinePunct w:val="0"/>
        <w:autoSpaceDE/>
        <w:autoSpaceDN/>
        <w:bidi w:val="0"/>
        <w:adjustRightInd/>
        <w:snapToGrid/>
        <w:spacing w:before="0" w:beforeAutospacing="0" w:after="0" w:afterAutospacing="0" w:line="360" w:lineRule="auto"/>
        <w:ind w:left="0" w:firstLine="482" w:firstLineChars="200"/>
        <w:jc w:val="left"/>
        <w:textAlignment w:val="auto"/>
        <w:rPr>
          <w:rFonts w:hint="eastAsia" w:ascii="宋体" w:hAnsi="宋体" w:eastAsia="宋体" w:cs="宋体"/>
          <w:b/>
          <w:bCs w:val="0"/>
          <w:i/>
          <w:color w:val="auto"/>
          <w:sz w:val="24"/>
          <w:szCs w:val="24"/>
          <w:highlight w:val="none"/>
          <w:u w:val="single"/>
          <w:lang w:bidi="zh-CN"/>
        </w:rPr>
      </w:pPr>
      <w:r>
        <w:rPr>
          <w:rFonts w:hint="eastAsia" w:ascii="宋体" w:hAnsi="宋体" w:eastAsia="宋体" w:cs="宋体"/>
          <w:b/>
          <w:bCs w:val="0"/>
          <w:i/>
          <w:color w:val="auto"/>
          <w:sz w:val="24"/>
          <w:szCs w:val="24"/>
          <w:highlight w:val="none"/>
          <w:u w:val="single"/>
          <w:lang w:bidi="zh-CN"/>
        </w:rPr>
        <w:t>人员工资不得低于宿迁市目前最低工资标准，即按照《</w:t>
      </w:r>
      <w:bookmarkStart w:id="104" w:name="OLE_LINK7"/>
      <w:r>
        <w:rPr>
          <w:rFonts w:hint="eastAsia" w:ascii="宋体" w:hAnsi="宋体" w:eastAsia="宋体" w:cs="宋体"/>
          <w:b/>
          <w:bCs w:val="0"/>
          <w:i/>
          <w:color w:val="auto"/>
          <w:sz w:val="24"/>
          <w:szCs w:val="24"/>
          <w:highlight w:val="none"/>
          <w:u w:val="single"/>
          <w:lang w:bidi="zh-CN"/>
        </w:rPr>
        <w:t>关于调整全市最低工资标准的通知</w:t>
      </w:r>
      <w:bookmarkEnd w:id="104"/>
      <w:r>
        <w:rPr>
          <w:rFonts w:hint="eastAsia" w:ascii="宋体" w:hAnsi="宋体" w:eastAsia="宋体" w:cs="宋体"/>
          <w:b/>
          <w:bCs w:val="0"/>
          <w:i/>
          <w:color w:val="auto"/>
          <w:sz w:val="24"/>
          <w:szCs w:val="24"/>
          <w:highlight w:val="none"/>
          <w:u w:val="single"/>
          <w:lang w:bidi="zh-CN"/>
        </w:rPr>
        <w:t>》（宿人社发〔2025〕29号）政策执行，否则按无效标处理。</w:t>
      </w:r>
    </w:p>
    <w:p>
      <w:pPr>
        <w:pStyle w:val="333"/>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left"/>
        <w:textAlignment w:val="auto"/>
        <w:rPr>
          <w:rStyle w:val="743"/>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Style w:val="743"/>
          <w:rFonts w:hint="eastAsia" w:ascii="宋体" w:hAnsi="宋体" w:eastAsia="宋体" w:cs="宋体"/>
          <w:color w:val="auto"/>
          <w:sz w:val="24"/>
          <w:szCs w:val="24"/>
          <w:highlight w:val="none"/>
        </w:rPr>
        <w:t>项目履约过程中，项目所需工具、设备、物耗等均由</w:t>
      </w:r>
      <w:r>
        <w:rPr>
          <w:rStyle w:val="743"/>
          <w:rFonts w:hint="eastAsia" w:hAnsi="宋体" w:cs="宋体"/>
          <w:color w:val="auto"/>
          <w:sz w:val="24"/>
          <w:szCs w:val="24"/>
          <w:highlight w:val="none"/>
        </w:rPr>
        <w:t>成交供应商</w:t>
      </w:r>
      <w:r>
        <w:rPr>
          <w:rStyle w:val="743"/>
          <w:rFonts w:hint="eastAsia" w:ascii="宋体" w:hAnsi="宋体" w:eastAsia="宋体" w:cs="宋体"/>
          <w:color w:val="auto"/>
          <w:sz w:val="24"/>
          <w:szCs w:val="24"/>
          <w:highlight w:val="none"/>
        </w:rPr>
        <w:t>提供，投标文件中必须提供能满足服务要求所配置的工具、设备明细表，并在物耗明细表中列明，如在服务期内，</w:t>
      </w:r>
      <w:r>
        <w:rPr>
          <w:rStyle w:val="743"/>
          <w:rFonts w:hint="eastAsia" w:hAnsi="宋体" w:cs="宋体"/>
          <w:color w:val="auto"/>
          <w:sz w:val="24"/>
          <w:szCs w:val="24"/>
          <w:highlight w:val="none"/>
        </w:rPr>
        <w:t>成交供应商</w:t>
      </w:r>
      <w:r>
        <w:rPr>
          <w:rStyle w:val="743"/>
          <w:rFonts w:hint="eastAsia" w:ascii="宋体" w:hAnsi="宋体" w:eastAsia="宋体" w:cs="宋体"/>
          <w:color w:val="auto"/>
          <w:sz w:val="24"/>
          <w:szCs w:val="24"/>
          <w:highlight w:val="none"/>
        </w:rPr>
        <w:t>提供工具、设备、物耗等质量不符合采购人要求的，应按采购人要求无条件更换。</w:t>
      </w:r>
    </w:p>
    <w:p>
      <w:pPr>
        <w:pStyle w:val="611"/>
        <w:pageBreakBefore w:val="0"/>
        <w:widowControl/>
        <w:kinsoku/>
        <w:wordWrap/>
        <w:overflowPunct/>
        <w:topLinePunct w:val="0"/>
        <w:autoSpaceDE/>
        <w:autoSpaceDN/>
        <w:bidi w:val="0"/>
        <w:adjustRightInd/>
        <w:snapToGrid/>
        <w:spacing w:beforeAutospacing="0" w:afterAutospacing="0" w:line="360" w:lineRule="auto"/>
        <w:ind w:left="0" w:firstLine="480" w:firstLineChars="200"/>
        <w:jc w:val="left"/>
        <w:textAlignment w:val="auto"/>
        <w:rPr>
          <w:rFonts w:hint="eastAsia" w:ascii="宋体" w:hAnsi="宋体" w:eastAsia="宋体" w:cs="宋体"/>
          <w:color w:val="auto"/>
          <w:sz w:val="24"/>
          <w:szCs w:val="24"/>
          <w:highlight w:val="none"/>
          <w:lang w:bidi="zh-CN"/>
        </w:rPr>
      </w:pPr>
      <w:r>
        <w:rPr>
          <w:rFonts w:hint="eastAsia" w:ascii="宋体" w:hAnsi="宋体" w:cs="宋体"/>
          <w:color w:val="auto"/>
          <w:sz w:val="24"/>
          <w:szCs w:val="24"/>
          <w:highlight w:val="none"/>
          <w:lang w:val="en-US" w:bidi="zh-CN"/>
        </w:rPr>
        <w:t>7</w:t>
      </w:r>
      <w:r>
        <w:rPr>
          <w:rFonts w:hint="eastAsia" w:ascii="宋体" w:hAnsi="宋体" w:eastAsia="宋体" w:cs="宋体"/>
          <w:color w:val="auto"/>
          <w:sz w:val="24"/>
          <w:szCs w:val="24"/>
          <w:highlight w:val="none"/>
          <w:lang w:bidi="zh-CN"/>
        </w:rPr>
        <w:t>、项目履约过程中，</w:t>
      </w:r>
      <w:r>
        <w:rPr>
          <w:rFonts w:hint="eastAsia" w:ascii="宋体" w:hAnsi="宋体" w:cs="宋体"/>
          <w:color w:val="auto"/>
          <w:sz w:val="24"/>
          <w:szCs w:val="24"/>
          <w:highlight w:val="none"/>
          <w:lang w:bidi="zh-CN"/>
        </w:rPr>
        <w:t>成交供应商</w:t>
      </w:r>
      <w:r>
        <w:rPr>
          <w:rFonts w:hint="eastAsia" w:ascii="宋体" w:hAnsi="宋体" w:eastAsia="宋体" w:cs="宋体"/>
          <w:color w:val="auto"/>
          <w:sz w:val="24"/>
          <w:szCs w:val="24"/>
          <w:highlight w:val="none"/>
          <w:lang w:bidi="zh-CN"/>
        </w:rPr>
        <w:t>应根据工作需要，安排好双休日及节假日的值班人员，编制各岗位排班表报采购人备案后执行，所涉及的费用，包含在此次报价中。</w:t>
      </w:r>
    </w:p>
    <w:p>
      <w:pPr>
        <w:pStyle w:val="611"/>
        <w:pageBreakBefore w:val="0"/>
        <w:widowControl/>
        <w:kinsoku/>
        <w:wordWrap/>
        <w:overflowPunct/>
        <w:topLinePunct w:val="0"/>
        <w:autoSpaceDE/>
        <w:autoSpaceDN/>
        <w:bidi w:val="0"/>
        <w:adjustRightInd/>
        <w:snapToGrid/>
        <w:spacing w:beforeAutospacing="0" w:afterAutospacing="0" w:line="360" w:lineRule="auto"/>
        <w:ind w:left="0" w:firstLine="480" w:firstLineChars="200"/>
        <w:jc w:val="left"/>
        <w:textAlignment w:val="auto"/>
        <w:rPr>
          <w:rFonts w:hint="eastAsia" w:ascii="宋体" w:hAnsi="宋体" w:eastAsia="宋体" w:cs="宋体"/>
          <w:color w:val="auto"/>
          <w:sz w:val="24"/>
          <w:szCs w:val="24"/>
          <w:highlight w:val="none"/>
          <w:lang w:bidi="zh-CN"/>
        </w:rPr>
      </w:pPr>
      <w:r>
        <w:rPr>
          <w:rFonts w:hint="eastAsia" w:ascii="宋体" w:hAnsi="宋体" w:cs="宋体"/>
          <w:color w:val="auto"/>
          <w:sz w:val="24"/>
          <w:szCs w:val="24"/>
          <w:highlight w:val="none"/>
          <w:lang w:val="en-US" w:bidi="zh-CN"/>
        </w:rPr>
        <w:t>8</w:t>
      </w:r>
      <w:r>
        <w:rPr>
          <w:rFonts w:hint="eastAsia" w:ascii="宋体" w:hAnsi="宋体" w:eastAsia="宋体" w:cs="宋体"/>
          <w:color w:val="auto"/>
          <w:sz w:val="24"/>
          <w:szCs w:val="24"/>
          <w:highlight w:val="none"/>
          <w:lang w:bidi="zh-CN"/>
        </w:rPr>
        <w:t>、</w:t>
      </w:r>
      <w:r>
        <w:rPr>
          <w:rFonts w:hint="eastAsia" w:ascii="宋体" w:hAnsi="宋体" w:cs="宋体"/>
          <w:color w:val="auto"/>
          <w:sz w:val="24"/>
          <w:szCs w:val="24"/>
          <w:highlight w:val="none"/>
          <w:lang w:bidi="zh-CN"/>
        </w:rPr>
        <w:t>中标（成交）单位</w:t>
      </w:r>
      <w:r>
        <w:rPr>
          <w:rFonts w:hint="eastAsia" w:ascii="宋体" w:hAnsi="宋体" w:eastAsia="宋体" w:cs="宋体"/>
          <w:color w:val="auto"/>
          <w:sz w:val="24"/>
          <w:szCs w:val="24"/>
          <w:highlight w:val="none"/>
          <w:lang w:bidi="zh-CN"/>
        </w:rPr>
        <w:t>须于每月15日前将人员工资支付到位凭证报采购人备案。</w:t>
      </w:r>
    </w:p>
    <w:p>
      <w:pPr>
        <w:pStyle w:val="611"/>
        <w:pageBreakBefore w:val="0"/>
        <w:widowControl/>
        <w:kinsoku/>
        <w:wordWrap/>
        <w:overflowPunct/>
        <w:topLinePunct w:val="0"/>
        <w:autoSpaceDE/>
        <w:autoSpaceDN/>
        <w:bidi w:val="0"/>
        <w:adjustRightInd/>
        <w:snapToGrid/>
        <w:spacing w:beforeAutospacing="0" w:afterAutospacing="0" w:line="360" w:lineRule="auto"/>
        <w:ind w:left="0" w:firstLine="480" w:firstLineChars="200"/>
        <w:jc w:val="left"/>
        <w:textAlignment w:val="auto"/>
        <w:rPr>
          <w:rFonts w:hint="eastAsia" w:ascii="宋体" w:hAnsi="宋体" w:eastAsia="宋体" w:cs="宋体"/>
          <w:color w:val="auto"/>
          <w:sz w:val="24"/>
          <w:szCs w:val="24"/>
          <w:highlight w:val="none"/>
          <w:lang w:bidi="zh-CN"/>
        </w:rPr>
      </w:pPr>
      <w:r>
        <w:rPr>
          <w:rFonts w:hint="eastAsia" w:ascii="宋体" w:hAnsi="宋体" w:cs="宋体"/>
          <w:color w:val="auto"/>
          <w:sz w:val="24"/>
          <w:szCs w:val="24"/>
          <w:highlight w:val="none"/>
          <w:lang w:val="en-US" w:bidi="zh-CN"/>
        </w:rPr>
        <w:t>9</w:t>
      </w:r>
      <w:r>
        <w:rPr>
          <w:rFonts w:hint="eastAsia" w:ascii="宋体" w:hAnsi="宋体" w:eastAsia="宋体" w:cs="宋体"/>
          <w:color w:val="auto"/>
          <w:sz w:val="24"/>
          <w:szCs w:val="24"/>
          <w:highlight w:val="none"/>
          <w:lang w:bidi="zh-CN"/>
        </w:rPr>
        <w:t>、其他</w:t>
      </w:r>
      <w:r>
        <w:rPr>
          <w:rFonts w:hint="eastAsia" w:ascii="宋体" w:hAnsi="宋体" w:cs="宋体"/>
          <w:color w:val="auto"/>
          <w:sz w:val="24"/>
          <w:szCs w:val="24"/>
          <w:highlight w:val="none"/>
          <w:lang w:bidi="zh-CN"/>
        </w:rPr>
        <w:t>物业管理</w:t>
      </w:r>
      <w:r>
        <w:rPr>
          <w:rFonts w:hint="eastAsia" w:ascii="宋体" w:hAnsi="宋体" w:eastAsia="宋体" w:cs="宋体"/>
          <w:color w:val="auto"/>
          <w:sz w:val="24"/>
          <w:szCs w:val="24"/>
          <w:highlight w:val="none"/>
          <w:lang w:bidi="zh-CN"/>
        </w:rPr>
        <w:t>质量要求按江苏省、宿迁市有关标准及采购需求执行，涉及费用均包含在本次投标报价中。</w:t>
      </w:r>
    </w:p>
    <w:p>
      <w:pPr>
        <w:pStyle w:val="325"/>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lang w:bidi="zh-CN"/>
        </w:rPr>
      </w:pPr>
      <w:r>
        <w:rPr>
          <w:rFonts w:hint="eastAsia" w:hAnsi="宋体" w:cs="宋体"/>
          <w:color w:val="auto"/>
          <w:sz w:val="24"/>
          <w:szCs w:val="24"/>
          <w:highlight w:val="none"/>
          <w:lang w:val="en-US" w:bidi="zh-CN"/>
        </w:rPr>
        <w:t>10</w:t>
      </w:r>
      <w:r>
        <w:rPr>
          <w:rFonts w:hint="eastAsia" w:ascii="宋体" w:hAnsi="宋体" w:eastAsia="宋体" w:cs="宋体"/>
          <w:color w:val="auto"/>
          <w:sz w:val="24"/>
          <w:szCs w:val="24"/>
          <w:highlight w:val="none"/>
          <w:lang w:bidi="zh-CN"/>
        </w:rPr>
        <w:t>、</w:t>
      </w:r>
      <w:r>
        <w:rPr>
          <w:rFonts w:hint="eastAsia" w:hAnsi="宋体" w:cs="宋体"/>
          <w:color w:val="auto"/>
          <w:sz w:val="24"/>
          <w:szCs w:val="24"/>
          <w:highlight w:val="none"/>
          <w:lang w:bidi="zh-CN"/>
        </w:rPr>
        <w:t>供应商</w:t>
      </w:r>
      <w:r>
        <w:rPr>
          <w:rFonts w:hint="eastAsia" w:ascii="宋体" w:hAnsi="宋体" w:eastAsia="宋体" w:cs="宋体"/>
          <w:color w:val="auto"/>
          <w:sz w:val="24"/>
          <w:szCs w:val="24"/>
          <w:highlight w:val="none"/>
          <w:lang w:bidi="zh-CN"/>
        </w:rPr>
        <w:t>结合对采购需求与预算的理解，结合物业服务市场价格，根据不同岗位员工工资、加班补助、劳保福利、保险、耗材等费用，根据明细报价表中所列的各项费用，提供服务费用分配方案和费用测算分析说明。在保障服务要求的基础上，采取措施激励合同履行人员，提高履约质量。</w:t>
      </w:r>
    </w:p>
    <w:p>
      <w:pPr>
        <w:pStyle w:val="123"/>
        <w:pageBreakBefore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rPr>
        <w:t>、付款方式</w:t>
      </w:r>
    </w:p>
    <w:p>
      <w:pPr>
        <w:pageBreakBefore w:val="0"/>
        <w:kinsoku/>
        <w:wordWrap/>
        <w:overflowPunct/>
        <w:topLinePunct w:val="0"/>
        <w:autoSpaceDE/>
        <w:autoSpaceDN/>
        <w:bidi w:val="0"/>
        <w:adjustRightInd/>
        <w:snapToGrid/>
        <w:spacing w:beforeAutospacing="0" w:afterAutospacing="0" w:line="360" w:lineRule="auto"/>
        <w:ind w:left="0" w:firstLine="472" w:firstLineChars="200"/>
        <w:textAlignment w:val="auto"/>
        <w:rPr>
          <w:rFonts w:hint="eastAsia" w:ascii="宋体" w:hAnsi="宋体" w:eastAsia="宋体" w:cs="宋体"/>
          <w:color w:val="auto"/>
          <w:sz w:val="24"/>
          <w:szCs w:val="24"/>
          <w:highlight w:val="none"/>
        </w:rPr>
      </w:pPr>
      <w:bookmarkStart w:id="105" w:name="OLE_LINK6"/>
      <w:r>
        <w:rPr>
          <w:rFonts w:hint="eastAsia" w:ascii="宋体" w:hAnsi="宋体" w:eastAsia="宋体" w:cs="宋体"/>
          <w:color w:val="auto"/>
          <w:spacing w:val="-2"/>
          <w:sz w:val="24"/>
          <w:szCs w:val="24"/>
          <w:highlight w:val="none"/>
        </w:rPr>
        <w:t>1</w:t>
      </w:r>
      <w:r>
        <w:rPr>
          <w:rFonts w:hint="eastAsia" w:ascii="宋体" w:hAnsi="宋体" w:eastAsia="宋体" w:cs="宋体"/>
          <w:color w:val="auto"/>
          <w:sz w:val="24"/>
          <w:szCs w:val="24"/>
          <w:highlight w:val="none"/>
        </w:rPr>
        <w:t>、预付款：采购人约定在合同签订后，采购人在接到</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票据的10个工作日内，支付合同金额的10%作为预付款。</w:t>
      </w:r>
    </w:p>
    <w:p>
      <w:pPr>
        <w:pStyle w:val="307"/>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进度款：采购人按季度支付物业服务费，</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按季根据实际发生的所有物业管理（考核后的）费用开具合法票据，并提供工人工资支付凭证，采购人在接受</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票据和凭证后的10个工作日内将上一季实际发生的所有物业管理（考核后的）费用支付给</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p>
    <w:p>
      <w:pPr>
        <w:pageBreakBefore w:val="0"/>
        <w:kinsoku/>
        <w:wordWrap/>
        <w:overflowPunct/>
        <w:topLinePunct w:val="0"/>
        <w:autoSpaceDE/>
        <w:autoSpaceDN/>
        <w:bidi w:val="0"/>
        <w:adjustRightInd/>
        <w:snapToGrid/>
        <w:spacing w:beforeAutospacing="0" w:afterAutospacing="0"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注：在签订合同时，供应商明确表示无需预付款或者主动要求降低预付款比例的，采购人可不适用前述规定。</w:t>
      </w:r>
      <w:bookmarkEnd w:id="105"/>
    </w:p>
    <w:p>
      <w:pPr>
        <w:pStyle w:val="123"/>
        <w:pageBreakBefore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十、款项支付相关要求</w:t>
      </w:r>
    </w:p>
    <w:p>
      <w:pPr>
        <w:pStyle w:val="614"/>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1．采购人按照</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实际投入人员数量及各单项人均费用并经考核完成后据实结算。</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未按要求向采购人提供发票的，采购人有权不予付款，直至发票按要求提供正确为止。且采购人有权从应付款项中直接扣除应由</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承担的违约金及其他相关款项。</w:t>
      </w:r>
    </w:p>
    <w:p>
      <w:pPr>
        <w:pStyle w:val="614"/>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每季度开展1次考核评价，到期按采购方出具的考核结果据实支付，其中服务费用的80%作为基本服务费用，20%作为考核费用。考核成绩在95分以上（含95分）全额支付当期全部服务费用；</w:t>
      </w:r>
    </w:p>
    <w:p>
      <w:pPr>
        <w:pStyle w:val="614"/>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考核成绩在90-95分（含90分）之间的，当期服务费用为：基本服务费用+[（实际得分）/100]*考核费用；</w:t>
      </w:r>
    </w:p>
    <w:p>
      <w:pPr>
        <w:pStyle w:val="614"/>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考核成绩在80-90分（含80分）之间的，当期服务费用为基本服务费用+[1-2*（100-实际得分）/100]*考核费用；</w:t>
      </w:r>
    </w:p>
    <w:p>
      <w:pPr>
        <w:pStyle w:val="614"/>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考核成绩在80分以下为不合格，当期服务费用为基本服务费用。</w:t>
      </w:r>
    </w:p>
    <w:p>
      <w:pPr>
        <w:pStyle w:val="614"/>
        <w:pageBreakBefore w:val="0"/>
        <w:kinsoku/>
        <w:wordWrap/>
        <w:overflowPunct/>
        <w:topLinePunct w:val="0"/>
        <w:autoSpaceDE/>
        <w:autoSpaceDN/>
        <w:bidi w:val="0"/>
        <w:adjustRightInd/>
        <w:snapToGrid/>
        <w:spacing w:beforeAutospacing="0" w:afterAutospacing="0"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cs="宋体"/>
          <w:b/>
          <w:bCs/>
          <w:color w:val="auto"/>
          <w:sz w:val="24"/>
          <w:szCs w:val="24"/>
          <w:highlight w:val="none"/>
          <w:lang w:eastAsia="zh-CN"/>
        </w:rPr>
        <w:t>成交供应商</w:t>
      </w:r>
      <w:r>
        <w:rPr>
          <w:rFonts w:hint="eastAsia" w:ascii="宋体" w:hAnsi="宋体" w:eastAsia="宋体" w:cs="宋体"/>
          <w:b/>
          <w:bCs/>
          <w:color w:val="auto"/>
          <w:sz w:val="24"/>
          <w:szCs w:val="24"/>
          <w:highlight w:val="none"/>
        </w:rPr>
        <w:t>向采购人提交符合要求的发票，同时提供人员工资支付明细证明。</w:t>
      </w:r>
    </w:p>
    <w:p>
      <w:pPr>
        <w:rPr>
          <w:color w:val="auto"/>
          <w:highlight w:val="none"/>
        </w:rPr>
      </w:pPr>
      <w:r>
        <w:rPr>
          <w:rFonts w:hint="eastAsia"/>
          <w:color w:val="auto"/>
          <w:highlight w:val="none"/>
        </w:rPr>
        <w:br w:type="page" w:clear="all"/>
      </w:r>
    </w:p>
    <w:p>
      <w:pPr>
        <w:rPr>
          <w:color w:val="auto"/>
          <w:highlight w:val="none"/>
        </w:rPr>
      </w:pPr>
    </w:p>
    <w:p>
      <w:pPr>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第五章  合同文本</w:t>
      </w:r>
    </w:p>
    <w:p>
      <w:pPr>
        <w:rPr>
          <w:color w:val="auto"/>
          <w:sz w:val="32"/>
          <w:szCs w:val="32"/>
          <w:highlight w:val="none"/>
        </w:rPr>
      </w:pPr>
    </w:p>
    <w:p>
      <w:pPr>
        <w:pStyle w:val="307"/>
        <w:spacing w:line="259" w:lineRule="auto"/>
        <w:jc w:val="center"/>
        <w:rPr>
          <w:rFonts w:ascii="仿宋" w:hAnsi="仿宋" w:eastAsia="仿宋" w:cs="仿宋"/>
          <w:color w:val="auto"/>
          <w:spacing w:val="5"/>
          <w:sz w:val="43"/>
          <w:szCs w:val="43"/>
          <w:highlight w:val="none"/>
        </w:rPr>
      </w:pPr>
      <w:bookmarkStart w:id="106" w:name="_Toc7955"/>
      <w:bookmarkStart w:id="107" w:name="_Toc1657"/>
      <w:r>
        <w:rPr>
          <w:rFonts w:hint="eastAsia" w:ascii="仿宋" w:hAnsi="仿宋" w:eastAsia="仿宋" w:cs="仿宋"/>
          <w:color w:val="auto"/>
          <w:spacing w:val="5"/>
          <w:sz w:val="43"/>
          <w:szCs w:val="43"/>
          <w:highlight w:val="none"/>
          <w:lang w:eastAsia="zh-CN"/>
        </w:rPr>
        <w:t>物业管理</w:t>
      </w:r>
      <w:r>
        <w:rPr>
          <w:rFonts w:hint="eastAsia" w:ascii="仿宋" w:hAnsi="仿宋" w:eastAsia="仿宋" w:cs="仿宋"/>
          <w:color w:val="auto"/>
          <w:spacing w:val="5"/>
          <w:sz w:val="43"/>
          <w:szCs w:val="43"/>
          <w:highlight w:val="none"/>
        </w:rPr>
        <w:t>合同</w:t>
      </w:r>
    </w:p>
    <w:p>
      <w:pPr>
        <w:pStyle w:val="307"/>
        <w:spacing w:line="259" w:lineRule="auto"/>
        <w:jc w:val="center"/>
        <w:rPr>
          <w:rFonts w:ascii="仿宋" w:hAnsi="仿宋" w:eastAsia="仿宋" w:cs="仿宋"/>
          <w:color w:val="auto"/>
          <w:spacing w:val="5"/>
          <w:sz w:val="28"/>
          <w:szCs w:val="28"/>
          <w:highlight w:val="none"/>
        </w:rPr>
      </w:pP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5"/>
          <w:sz w:val="28"/>
          <w:szCs w:val="28"/>
          <w:highlight w:val="none"/>
          <w:lang w:eastAsia="zh-CN"/>
        </w:rPr>
        <w:t>中标（成交）后</w:t>
      </w:r>
      <w:r>
        <w:rPr>
          <w:rFonts w:hint="eastAsia" w:ascii="仿宋" w:hAnsi="仿宋" w:eastAsia="仿宋" w:cs="仿宋"/>
          <w:color w:val="auto"/>
          <w:spacing w:val="5"/>
          <w:sz w:val="28"/>
          <w:szCs w:val="28"/>
          <w:highlight w:val="none"/>
        </w:rPr>
        <w:t>各采购人根据需求自行拟定最终合同并在苏采云签署电子合同公告）</w:t>
      </w:r>
    </w:p>
    <w:p>
      <w:pPr>
        <w:pStyle w:val="697"/>
        <w:spacing w:line="560" w:lineRule="exact"/>
        <w:ind w:firstLine="480"/>
        <w:rPr>
          <w:rFonts w:ascii="宋体" w:hAnsi="宋体" w:eastAsia="宋体" w:cs="宋体"/>
          <w:color w:val="auto"/>
          <w:highlight w:val="none"/>
        </w:rPr>
      </w:pPr>
      <w:r>
        <w:rPr>
          <w:rFonts w:hint="eastAsia" w:ascii="宋体" w:hAnsi="宋体" w:eastAsia="宋体" w:cs="宋体"/>
          <w:color w:val="auto"/>
          <w:highlight w:val="none"/>
        </w:rPr>
        <w:t>合同编号：</w:t>
      </w:r>
    </w:p>
    <w:p>
      <w:pPr>
        <w:pStyle w:val="697"/>
        <w:tabs>
          <w:tab w:val="left" w:pos="4004"/>
        </w:tabs>
        <w:spacing w:line="560" w:lineRule="exact"/>
        <w:ind w:firstLine="480"/>
        <w:rPr>
          <w:rFonts w:ascii="宋体" w:hAnsi="宋体" w:eastAsia="宋体" w:cs="宋体"/>
          <w:color w:val="auto"/>
          <w:highlight w:val="none"/>
        </w:rPr>
      </w:pPr>
      <w:r>
        <w:rPr>
          <w:rFonts w:hint="eastAsia" w:ascii="宋体" w:hAnsi="宋体" w:eastAsia="宋体" w:cs="宋体"/>
          <w:color w:val="auto"/>
          <w:highlight w:val="none"/>
        </w:rPr>
        <w:t>甲方：（以下简称甲方）</w:t>
      </w:r>
    </w:p>
    <w:p>
      <w:pPr>
        <w:pStyle w:val="697"/>
        <w:tabs>
          <w:tab w:val="left" w:pos="4004"/>
        </w:tabs>
        <w:spacing w:line="560" w:lineRule="exact"/>
        <w:ind w:firstLine="480"/>
        <w:rPr>
          <w:rFonts w:ascii="宋体" w:hAnsi="宋体" w:eastAsia="宋体" w:cs="宋体"/>
          <w:color w:val="auto"/>
          <w:highlight w:val="none"/>
        </w:rPr>
      </w:pPr>
      <w:r>
        <w:rPr>
          <w:rFonts w:hint="eastAsia" w:ascii="宋体" w:hAnsi="宋体" w:eastAsia="宋体" w:cs="宋体"/>
          <w:color w:val="auto"/>
          <w:highlight w:val="none"/>
        </w:rPr>
        <w:t>乙方：（以下简称乙方）</w:t>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依照《中华人民共和国民法典》及其他有关法律、行政法规，遵循平等、自愿、公平和诚实信用的原则，双方就</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相关事项协商一致，达成如下合同条款。</w:t>
      </w:r>
    </w:p>
    <w:p>
      <w:pPr>
        <w:spacing w:line="60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一、合同内容：</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提供服务及管理时间自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日。在合同有效期内一方不得擅自变更或中止此项合同，如未经双方同意，擅自变更或中止此项的一方要负违约责任。此项合同需终止或续签，应在合同期内提前两个月通知对方。</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1、下列文件为本合同不可分割部分：</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 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通知书；</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 乙方的投标文件；</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③ 乙方在投标过程中所作的其它承诺、声明、书面澄清等；</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④ 采购文件及其附件；</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⑤ 合同附件。</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以上与本合同具有同等法律效力</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、乙方聘用的人员</w:t>
      </w:r>
      <w:r>
        <w:rPr>
          <w:rFonts w:hint="eastAsia" w:ascii="宋体" w:hAnsi="宋体" w:eastAsia="宋体" w:cs="宋体"/>
          <w:color w:val="auto"/>
          <w:sz w:val="24"/>
          <w:szCs w:val="24"/>
          <w:highlight w:val="none"/>
          <w:lang w:eastAsia="zh-CN"/>
        </w:rPr>
        <w:t>（人员名单详见附件）</w:t>
      </w:r>
      <w:r>
        <w:rPr>
          <w:rFonts w:hint="eastAsia" w:ascii="宋体" w:hAnsi="宋体" w:eastAsia="宋体" w:cs="宋体"/>
          <w:color w:val="auto"/>
          <w:sz w:val="24"/>
          <w:szCs w:val="24"/>
          <w:highlight w:val="none"/>
        </w:rPr>
        <w:t>。</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、履行方式：乙方按甲方采购要求及合同约定提供服务，服务过程中的各种风险由乙方承担；实施方式由乙方视情况自定，费用自负。</w:t>
      </w:r>
    </w:p>
    <w:p>
      <w:pPr>
        <w:pStyle w:val="747"/>
        <w:widowControl/>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二、甲、乙双方的责任</w:t>
      </w:r>
    </w:p>
    <w:p>
      <w:pPr>
        <w:pStyle w:val="747"/>
        <w:widowControl/>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（一）甲方的权利和义务：</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1、甲方有权要求乙方提供并审查</w:t>
      </w:r>
      <w:r>
        <w:rPr>
          <w:rFonts w:hint="eastAsia" w:ascii="宋体" w:hAnsi="宋体" w:eastAsia="宋体" w:cs="宋体"/>
          <w:color w:val="auto"/>
          <w:sz w:val="24"/>
          <w:szCs w:val="24"/>
          <w:highlight w:val="none"/>
          <w:lang w:eastAsia="zh-CN"/>
        </w:rPr>
        <w:t>物业管理</w:t>
      </w:r>
      <w:r>
        <w:rPr>
          <w:rFonts w:hint="eastAsia" w:ascii="宋体" w:hAnsi="宋体" w:eastAsia="宋体" w:cs="宋体"/>
          <w:color w:val="auto"/>
          <w:sz w:val="24"/>
          <w:szCs w:val="24"/>
          <w:highlight w:val="none"/>
        </w:rPr>
        <w:t>之详细工作计划及管理方案、专项业务操作规程、本项目管理架构、工作及培训计划、工作现场的质量记录及工作人员相关资料，并有权对乙方的工作进行监督管理、品质检查和质量评估，并提出相关整改意见。</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2、甲方有权审核乙方的物业服务费用。甲方必须严格按照双方签订的合同约定审核乙方提交的结算单据并支付相关物业服务费用，不得拖欠。</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4、甲方应为乙方提供机械设备、材料堆放的场地及车辆运输、停放的便利。</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w:t>
      </w:r>
      <w:r>
        <w:rPr>
          <w:rFonts w:hint="eastAsia" w:ascii="宋体" w:hAnsi="宋体" w:eastAsia="宋体" w:cs="宋体"/>
          <w:color w:val="auto"/>
          <w:sz w:val="24"/>
          <w:szCs w:val="24"/>
          <w:highlight w:val="none"/>
          <w:lang w:eastAsia="zh-CN"/>
        </w:rPr>
        <w:t>物业管理</w:t>
      </w:r>
      <w:r>
        <w:rPr>
          <w:rFonts w:hint="eastAsia" w:ascii="宋体" w:hAnsi="宋体" w:eastAsia="宋体" w:cs="宋体"/>
          <w:color w:val="auto"/>
          <w:sz w:val="24"/>
          <w:szCs w:val="24"/>
          <w:highlight w:val="none"/>
        </w:rPr>
        <w:t>费用时以考核分数为必要依据。</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7、甲方逾期支付资金，承担相关违约责任。</w:t>
      </w:r>
    </w:p>
    <w:p>
      <w:pPr>
        <w:pStyle w:val="747"/>
        <w:widowControl/>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（二）乙方的权力和义务：</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1、在本合同期内，乙方应做好现场员工的管理工作，如发生问题，乙方应当积极妥善解决，由此形成的一切后果均由乙方承担。</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2、乙方保洁人员需完成必要的培训后方可上岗，其培训内容包括但不仅限于下列内容：</w:t>
      </w:r>
    </w:p>
    <w:p>
      <w:pPr>
        <w:pStyle w:val="746"/>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（1）员工礼仪礼貌培训。</w:t>
      </w:r>
    </w:p>
    <w:p>
      <w:pPr>
        <w:pStyle w:val="746"/>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（2）岗位工作技能培训。</w:t>
      </w:r>
    </w:p>
    <w:p>
      <w:pPr>
        <w:pStyle w:val="746"/>
        <w:widowControl/>
        <w:tabs>
          <w:tab w:val="left" w:pos="167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（3）保洁服务过程中常见化学药剂的使用及注意事项。</w:t>
      </w:r>
    </w:p>
    <w:p>
      <w:pPr>
        <w:pStyle w:val="746"/>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（4）员工工服更衣柜使用规定。</w:t>
      </w:r>
    </w:p>
    <w:p>
      <w:pPr>
        <w:pStyle w:val="746"/>
        <w:widowControl/>
        <w:tabs>
          <w:tab w:val="left" w:pos="167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（5）工作职责和工作流程。</w:t>
      </w:r>
    </w:p>
    <w:p>
      <w:pPr>
        <w:pStyle w:val="746"/>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（6）各种涉及本岗位的工具设备的正确使用。</w:t>
      </w:r>
    </w:p>
    <w:p>
      <w:pPr>
        <w:pStyle w:val="746"/>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（7）服务区域中所应遵守的各项劳动纪律。</w:t>
      </w:r>
    </w:p>
    <w:p>
      <w:pPr>
        <w:pStyle w:val="746"/>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3、乙方必须严格服从甲方现场监督和管理。</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4、如遇紧急事故或突发事件等需要紧急处理，甲方有权调用在场的乙方所有员工进行突击抢险和处理紧急任务。</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5、乙方应随时配合甲方每日对保洁工作进行检查，乙方将定期清洁作业计划情况书面告知甲方，每月将清洁及</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作业计划实施情况以书面形式报告。</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6、乙方应保持派驻本项目的人员，如有变动，应提前及时书面告知甲方，并将变动情况报甲方备档。</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pPr>
        <w:pStyle w:val="748"/>
        <w:spacing w:line="600" w:lineRule="exact"/>
        <w:ind w:firstLine="482"/>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三、合同价款</w:t>
      </w:r>
    </w:p>
    <w:p>
      <w:pPr>
        <w:pStyle w:val="622"/>
        <w:spacing w:line="520" w:lineRule="exact"/>
        <w:ind w:firstLine="482"/>
        <w:rPr>
          <w:rFonts w:ascii="宋体" w:hAnsi="宋体" w:cs="宋体"/>
          <w:color w:val="auto"/>
          <w:sz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元人民币）。</w:t>
      </w:r>
    </w:p>
    <w:p>
      <w:pPr>
        <w:pStyle w:val="748"/>
        <w:spacing w:line="6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1、人员配置及费用</w:t>
      </w:r>
    </w:p>
    <w:tbl>
      <w:tblPr>
        <w:tblStyle w:val="37"/>
        <w:tblpPr w:leftFromText="180" w:rightFromText="180" w:vertAnchor="text" w:horzAnchor="page" w:tblpX="1809" w:tblpY="494"/>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2325"/>
        <w:gridCol w:w="919"/>
        <w:gridCol w:w="1397"/>
        <w:gridCol w:w="815"/>
        <w:gridCol w:w="846"/>
        <w:gridCol w:w="19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643"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325"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人员配备</w:t>
            </w:r>
          </w:p>
        </w:tc>
        <w:tc>
          <w:tcPr>
            <w:tcW w:w="919"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397"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工资标准</w:t>
            </w:r>
          </w:p>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（元/月/人）</w:t>
            </w:r>
          </w:p>
        </w:tc>
        <w:tc>
          <w:tcPr>
            <w:tcW w:w="815"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月工资总额</w:t>
            </w:r>
          </w:p>
        </w:tc>
        <w:tc>
          <w:tcPr>
            <w:tcW w:w="846"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社保</w:t>
            </w:r>
          </w:p>
        </w:tc>
        <w:tc>
          <w:tcPr>
            <w:tcW w:w="1904"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意外险</w:t>
            </w:r>
          </w:p>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（或雇主责任险）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lang w:bidi="zh-CN"/>
              </w:rPr>
            </w:pPr>
            <w:r>
              <w:rPr>
                <w:rFonts w:hint="eastAsia" w:ascii="宋体" w:hAnsi="宋体" w:cs="宋体"/>
                <w:color w:val="auto"/>
                <w:sz w:val="24"/>
                <w:szCs w:val="24"/>
                <w:highlight w:val="none"/>
                <w:lang w:bidi="zh-CN"/>
              </w:rPr>
              <w:t>2</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bl>
    <w:p>
      <w:pPr>
        <w:pStyle w:val="748"/>
        <w:spacing w:line="600" w:lineRule="exact"/>
        <w:ind w:firstLine="24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、付款方式及相关要求</w:t>
      </w:r>
    </w:p>
    <w:p>
      <w:pPr>
        <w:pStyle w:val="748"/>
        <w:spacing w:line="600" w:lineRule="exact"/>
        <w:ind w:firstLine="24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付款方式：1、预付款：甲方约定在合同签订后，甲方在接到乙方票据的10个工作日内，支付合同金额的10%作为预付款。</w:t>
      </w:r>
    </w:p>
    <w:p>
      <w:pPr>
        <w:pStyle w:val="748"/>
        <w:spacing w:line="600" w:lineRule="exact"/>
        <w:ind w:firstLine="24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进度款：甲方按季支付物业服务费，乙方按季根据实际发生的所有物业管理（考核后的）费用开具合法票据，并提供工人工资支付凭证，甲方在接受乙方票据和凭证后的10个工作日内将上一季实际发生的所有物业管理（考核后的）费用支付给乙方。</w:t>
      </w:r>
    </w:p>
    <w:p>
      <w:pPr>
        <w:spacing w:line="500" w:lineRule="exact"/>
        <w:ind w:firstLine="480"/>
        <w:rPr>
          <w:color w:val="auto"/>
          <w:highlight w:val="none"/>
        </w:rPr>
      </w:pPr>
      <w:r>
        <w:rPr>
          <w:rFonts w:hint="eastAsia" w:ascii="宋体" w:hAnsi="宋体" w:cs="宋体"/>
          <w:color w:val="auto"/>
          <w:sz w:val="24"/>
          <w:szCs w:val="24"/>
          <w:highlight w:val="none"/>
        </w:rPr>
        <w:t>注：（1）在签订合同时，乙方明确表示无需预付款或者主动要求降低预付款比例的，甲方可不适用前述规定。</w:t>
      </w:r>
    </w:p>
    <w:p>
      <w:pPr>
        <w:pStyle w:val="748"/>
        <w:spacing w:line="600" w:lineRule="exact"/>
        <w:ind w:firstLine="480"/>
        <w:rPr>
          <w:rFonts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highlight w:val="none"/>
          <w:lang w:eastAsia="zh-CN"/>
        </w:rPr>
        <w:t>2）每季度开展1次考核评价(考核评价标准附后)，到期按甲方出具的考核结果据实支付，其中服务费用的80%作为基本服务费用，20%作为考核费用。考核成绩在95分以上（含95分）全额支付当期全部服务费用；</w:t>
      </w:r>
    </w:p>
    <w:p>
      <w:pPr>
        <w:pStyle w:val="748"/>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考核成绩在90-95分（含90分）之间的，当期服务费用为：基本服务费用+[（实际得分）/100]*考核费用；</w:t>
      </w:r>
    </w:p>
    <w:p>
      <w:pPr>
        <w:pStyle w:val="748"/>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考核成绩在80-90分（含80分）之间的，当期服务费用为基本服务费用+[1-2*（100-实际得分）/100]*考核费用；</w:t>
      </w:r>
    </w:p>
    <w:p>
      <w:pPr>
        <w:pStyle w:val="748"/>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考核成绩在80分以下为不合格，当期服务费用为基本服务费用。</w:t>
      </w:r>
    </w:p>
    <w:p>
      <w:pPr>
        <w:pStyle w:val="748"/>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p>
    <w:p>
      <w:pPr>
        <w:pStyle w:val="748"/>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（4）乙方向甲方提交符合要求的发票，同时提供人员工资支付明细证明。</w:t>
      </w:r>
    </w:p>
    <w:p>
      <w:pPr>
        <w:spacing w:line="560" w:lineRule="exact"/>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（6）甲方支付此项费用外不再承担其它任何费用（包括物业人员的衣食住行），物业服务人员的薪金、福利、休假日补贴等由乙方付给，与甲方无关。</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（7）确因甲方工作需要，乙方应无条件配合甲方完成一些突击工作。如：安排服务人员（内部）临时加班。</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（8）在本合同履行过程中，若因国家或地方政府政策的变化致使有些岗位需要取消的，双方一致同意合同亦作相应变更，人员由乙方妥善安置，相应费用甲方不再支付。</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（9）乙方按专业化要求配置管理服务人员，配备调整管理服务人员必须经甲方面试或审核同意；</w:t>
      </w:r>
      <w:r>
        <w:rPr>
          <w:rFonts w:hint="eastAsia" w:ascii="宋体" w:hAnsi="宋体" w:cs="宋体"/>
          <w:color w:val="auto"/>
          <w:sz w:val="24"/>
          <w:szCs w:val="24"/>
          <w:highlight w:val="none"/>
          <w:lang w:eastAsia="zh-CN"/>
        </w:rPr>
        <w:t>物业管理</w:t>
      </w:r>
      <w:r>
        <w:rPr>
          <w:rFonts w:hint="eastAsia" w:ascii="宋体" w:hAnsi="宋体" w:cs="宋体"/>
          <w:color w:val="auto"/>
          <w:sz w:val="24"/>
          <w:szCs w:val="24"/>
          <w:highlight w:val="none"/>
        </w:rPr>
        <w:t>与收费质价相符；本项目物业管理区域内所有</w:t>
      </w:r>
      <w:r>
        <w:rPr>
          <w:rFonts w:hint="eastAsia" w:ascii="宋体" w:hAnsi="宋体" w:cs="宋体"/>
          <w:color w:val="auto"/>
          <w:sz w:val="24"/>
          <w:szCs w:val="24"/>
          <w:highlight w:val="none"/>
          <w:lang w:eastAsia="zh-CN"/>
        </w:rPr>
        <w:t>物业管理</w:t>
      </w:r>
      <w:r>
        <w:rPr>
          <w:rFonts w:hint="eastAsia" w:ascii="宋体" w:hAnsi="宋体" w:cs="宋体"/>
          <w:color w:val="auto"/>
          <w:sz w:val="24"/>
          <w:szCs w:val="24"/>
          <w:highlight w:val="none"/>
        </w:rPr>
        <w:t>达到《宿迁市市区物业管理办法》及甲方要求。</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（11）履约过程中，所需工具、设备、物耗等均由乙方提供，乙方必须提供能满足服务要求所配置的工具、设备、物耗，如乙方提供工具、设备、物耗等质量不符合采购人要求的，应无条件更换。</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（12）履约过程中，乙方应根据工作需要，安排好双休日及节假日的值班人员，编制各岗位排班表报采购人备案后执行，并按规定发放加班费。</w:t>
      </w:r>
    </w:p>
    <w:p>
      <w:pPr>
        <w:pStyle w:val="622"/>
        <w:spacing w:before="55" w:line="520" w:lineRule="exact"/>
        <w:ind w:left="420"/>
        <w:jc w:val="left"/>
        <w:rPr>
          <w:rFonts w:ascii="宋体" w:hAnsi="宋体" w:cs="宋体"/>
          <w:color w:val="auto"/>
          <w:sz w:val="24"/>
          <w:szCs w:val="21"/>
          <w:highlight w:val="none"/>
        </w:rPr>
      </w:pPr>
      <w:r>
        <w:rPr>
          <w:rFonts w:hint="eastAsia" w:ascii="宋体" w:hAnsi="宋体" w:cs="宋体"/>
          <w:color w:val="auto"/>
          <w:sz w:val="24"/>
          <w:szCs w:val="21"/>
          <w:highlight w:val="none"/>
        </w:rPr>
        <w:t>4、发票开具方式：与合同主体一致的增值税专用或普通发票。</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5、服务要求</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按招标文件采购需求服务标准进行服务。</w:t>
      </w:r>
    </w:p>
    <w:p>
      <w:pPr>
        <w:spacing w:before="94" w:after="94" w:line="56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四、检查考核办法</w:t>
      </w:r>
    </w:p>
    <w:p>
      <w:pPr>
        <w:spacing w:before="94" w:after="94" w:line="560" w:lineRule="exact"/>
        <w:ind w:firstLine="482"/>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合同签订时，采购人根据考核要求自行添加</w:t>
      </w:r>
      <w:r>
        <w:rPr>
          <w:rFonts w:hint="eastAsia" w:ascii="宋体" w:hAnsi="宋体" w:cs="宋体"/>
          <w:color w:val="auto"/>
          <w:sz w:val="24"/>
          <w:szCs w:val="24"/>
          <w:highlight w:val="none"/>
          <w:lang w:eastAsia="zh-CN"/>
        </w:rPr>
        <w:t>。</w:t>
      </w:r>
    </w:p>
    <w:p>
      <w:pPr>
        <w:pStyle w:val="745"/>
        <w:spacing w:before="94" w:after="94" w:line="56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五、违约责任</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1、除不可抗力外，如果乙方没有按照本合同约定的期限、地点和方式履行，那么甲方可要求乙方支付违约金，违约金按每迟延履行一日的应提供而未提供服务价格的 3‰计算，最高限额为本合同总价的</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 ；迟延履行的违约金计算数额达到前述最高限额之日起，甲方有权在要求乙方支付违约金的同时，书面通知乙方解除本合同。</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2、除不可抗力外，如果甲方没有按照本合同约定的付款方式付款，那么乙方可要求甲方支付违约金，最高限额为本合同总价的 1‰ ；迟延付款的违约金计算数额达到前述最高限额之日起，乙方有权在要求甲方支付违约金的同时，书面通知甲方解除本合同。</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6、如果出现政府采购监督管理部门在处理投诉事项期间，书面通知甲方暂停采购活动的情形，或者询问或质疑事项可能影响中标结果的，导致甲方中止履行合同的情形，均不视为甲方违约。</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8、未经甲方许可，乙方将承包的</w:t>
      </w:r>
      <w:r>
        <w:rPr>
          <w:rFonts w:hint="eastAsia" w:ascii="宋体" w:hAnsi="宋体" w:cs="宋体"/>
          <w:color w:val="auto"/>
          <w:sz w:val="24"/>
          <w:szCs w:val="24"/>
          <w:highlight w:val="none"/>
          <w:lang w:eastAsia="zh-CN"/>
        </w:rPr>
        <w:t>物业管理</w:t>
      </w:r>
      <w:r>
        <w:rPr>
          <w:rFonts w:hint="eastAsia" w:ascii="宋体" w:hAnsi="宋体" w:cs="宋体"/>
          <w:color w:val="auto"/>
          <w:sz w:val="24"/>
          <w:szCs w:val="24"/>
          <w:highlight w:val="none"/>
        </w:rPr>
        <w:t>转包他人，采购人有权终止合同。</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9、乙方长期（连续两个月内）有人员不到位，影响物业管理质量的，经甲方要求及时改正，乙方仍拒不改正的，甲方将报经财政监管部门终止合同。</w:t>
      </w:r>
    </w:p>
    <w:p>
      <w:pPr>
        <w:pStyle w:val="622"/>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10、因乙方管理不善，导致甲方出现生命财产安全重大事故的（如有人员伤亡医药费在5万元以上的或有财产损失5万元以上的），甲方将报经财政监管部门终止合同，乙方对甲方造成的经济损失负有赔偿责任。</w:t>
      </w:r>
    </w:p>
    <w:p>
      <w:pPr>
        <w:pStyle w:val="745"/>
        <w:spacing w:before="94" w:after="94" w:line="560" w:lineRule="exact"/>
        <w:ind w:firstLine="482"/>
        <w:rPr>
          <w:rFonts w:ascii="宋体" w:hAnsi="宋体" w:cs="宋体"/>
          <w:color w:val="auto"/>
          <w:sz w:val="24"/>
          <w:szCs w:val="24"/>
          <w:highlight w:val="none"/>
          <w:lang w:val="zh-CN"/>
        </w:rPr>
      </w:pPr>
      <w:r>
        <w:rPr>
          <w:rFonts w:hint="eastAsia" w:ascii="宋体" w:hAnsi="宋体" w:cs="宋体"/>
          <w:color w:val="auto"/>
          <w:sz w:val="24"/>
          <w:szCs w:val="24"/>
          <w:highlight w:val="none"/>
        </w:rPr>
        <w:t>六</w:t>
      </w:r>
      <w:r>
        <w:rPr>
          <w:rFonts w:hint="eastAsia" w:ascii="宋体" w:hAnsi="宋体" w:cs="宋体"/>
          <w:color w:val="auto"/>
          <w:sz w:val="24"/>
          <w:szCs w:val="24"/>
          <w:highlight w:val="none"/>
          <w:lang w:val="zh-CN"/>
        </w:rPr>
        <w:t>、供应商合法权益补偿机制</w:t>
      </w:r>
    </w:p>
    <w:p>
      <w:pPr>
        <w:pStyle w:val="718"/>
        <w:spacing w:before="94" w:after="94" w:line="560" w:lineRule="exact"/>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供应商合法权益补偿救济机制。在履约过程因政策变化、规划调整而无法履行合同约定，造成企业合法权益受损的，采购人依据实际情况对供应商进行补偿救济。</w:t>
      </w:r>
    </w:p>
    <w:p>
      <w:pPr>
        <w:pStyle w:val="747"/>
        <w:widowControl/>
        <w:tabs>
          <w:tab w:val="left" w:pos="6890"/>
          <w:tab w:val="left" w:pos="8105"/>
        </w:tabs>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七、争议的解决</w:t>
      </w:r>
    </w:p>
    <w:p>
      <w:pPr>
        <w:pStyle w:val="747"/>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1、因履行本合同引起的或与本合同有关的争议，甲乙双方应首先友好协商解决，如果协商不能解决争议，则向甲方所在地有管辖权的人民法院提起诉讼。</w:t>
      </w:r>
    </w:p>
    <w:p>
      <w:pPr>
        <w:pStyle w:val="747"/>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2、在审理期间，本合同应继续履行。</w:t>
      </w:r>
    </w:p>
    <w:p>
      <w:pPr>
        <w:pStyle w:val="747"/>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pPr>
        <w:pStyle w:val="747"/>
        <w:tabs>
          <w:tab w:val="left" w:pos="6890"/>
          <w:tab w:val="left" w:pos="8105"/>
        </w:tabs>
        <w:spacing w:before="94" w:after="94"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color w:val="auto"/>
          <w:sz w:val="24"/>
          <w:szCs w:val="24"/>
          <w:highlight w:val="none"/>
          <w:lang w:val="zh-CN"/>
        </w:rPr>
        <w:t>。</w:t>
      </w:r>
    </w:p>
    <w:p>
      <w:pPr>
        <w:pStyle w:val="664"/>
        <w:widowControl/>
        <w:spacing w:before="94" w:after="94" w:line="560" w:lineRule="exact"/>
        <w:ind w:firstLine="482"/>
        <w:rPr>
          <w:rFonts w:ascii="宋体" w:hAnsi="宋体" w:cs="宋体"/>
          <w:color w:val="auto"/>
          <w:sz w:val="24"/>
          <w:highlight w:val="none"/>
        </w:rPr>
      </w:pPr>
      <w:r>
        <w:rPr>
          <w:rFonts w:hint="eastAsia" w:ascii="宋体" w:hAnsi="宋体" w:cs="宋体"/>
          <w:color w:val="auto"/>
          <w:sz w:val="24"/>
          <w:highlight w:val="none"/>
        </w:rPr>
        <w:t>八、附则</w:t>
      </w:r>
    </w:p>
    <w:p>
      <w:pPr>
        <w:pStyle w:val="747"/>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1、双方可对本合同的条款进行补充，以书面形式签订补充协议，补充协议与本合同具有同等效力。</w:t>
      </w:r>
    </w:p>
    <w:p>
      <w:pPr>
        <w:pStyle w:val="747"/>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2、本合同之附件均为合同有效组成部分。本合同及其附件和补充协议中未规定的事宜，遵照中华人民共和国有关法律、法规和规章执行。</w:t>
      </w:r>
    </w:p>
    <w:p>
      <w:pPr>
        <w:pStyle w:val="747"/>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3、本合同一式四份，以中文书写，甲方、乙方各执贰份。</w:t>
      </w:r>
    </w:p>
    <w:p>
      <w:pPr>
        <w:pStyle w:val="747"/>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4、本合同一切未尽事宜，按《中华人民共和国民法典》有关规定执行，无相关规定的，由甲乙双方协商解决。</w:t>
      </w:r>
    </w:p>
    <w:p>
      <w:pPr>
        <w:pStyle w:val="747"/>
        <w:widowControl/>
        <w:spacing w:before="94" w:after="94" w:line="560" w:lineRule="exact"/>
        <w:ind w:left="525"/>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九、合同的生效</w:t>
      </w:r>
    </w:p>
    <w:p>
      <w:pPr>
        <w:pStyle w:val="747"/>
        <w:widowControl/>
        <w:spacing w:before="94" w:after="94" w:line="560" w:lineRule="exact"/>
        <w:ind w:firstLine="480"/>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本合同经甲方、乙方签字盖章后生效。</w:t>
      </w:r>
    </w:p>
    <w:p>
      <w:pPr>
        <w:pStyle w:val="747"/>
        <w:widowControl/>
        <w:spacing w:before="94" w:after="94" w:line="480" w:lineRule="auto"/>
        <w:rPr>
          <w:rFonts w:hint="eastAsia" w:ascii="宋体" w:hAnsi="宋体" w:eastAsia="宋体" w:cs="宋体"/>
          <w:color w:val="auto"/>
          <w:sz w:val="24"/>
          <w:szCs w:val="24"/>
          <w:highlight w:val="none"/>
        </w:rPr>
      </w:pPr>
    </w:p>
    <w:p>
      <w:pPr>
        <w:pStyle w:val="747"/>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甲方：  （盖章）                     乙方：   （盖章）</w:t>
      </w:r>
    </w:p>
    <w:p>
      <w:pPr>
        <w:pStyle w:val="747"/>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pPr>
        <w:pStyle w:val="747"/>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                法定（授权）代表人：</w:t>
      </w:r>
    </w:p>
    <w:p>
      <w:pPr>
        <w:pStyle w:val="747"/>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pPr>
        <w:pStyle w:val="747"/>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pPr>
        <w:pStyle w:val="745"/>
        <w:spacing w:before="94" w:after="94" w:line="480" w:lineRule="auto"/>
        <w:rPr>
          <w:rFonts w:ascii="宋体" w:hAnsi="宋体" w:cs="宋体"/>
          <w:color w:val="auto"/>
          <w:sz w:val="24"/>
          <w:szCs w:val="24"/>
          <w:highlight w:val="none"/>
        </w:rPr>
      </w:pPr>
      <w:r>
        <w:rPr>
          <w:rFonts w:hint="eastAsia" w:ascii="宋体" w:hAnsi="宋体" w:cs="宋体"/>
          <w:color w:val="auto"/>
          <w:sz w:val="24"/>
          <w:szCs w:val="24"/>
          <w:highlight w:val="none"/>
        </w:rPr>
        <w:t>年   月   日                           年   月   日</w:t>
      </w:r>
    </w:p>
    <w:p>
      <w:pPr>
        <w:pStyle w:val="745"/>
        <w:spacing w:before="94" w:after="94" w:line="480" w:lineRule="auto"/>
        <w:rPr>
          <w:rFonts w:ascii="宋体" w:hAnsi="宋体" w:cs="宋体"/>
          <w:color w:val="auto"/>
          <w:sz w:val="24"/>
          <w:szCs w:val="24"/>
          <w:highlight w:val="none"/>
        </w:rPr>
      </w:pPr>
    </w:p>
    <w:p>
      <w:pPr>
        <w:pStyle w:val="745"/>
        <w:spacing w:before="94" w:after="94" w:line="480" w:lineRule="auto"/>
        <w:rPr>
          <w:rFonts w:ascii="宋体" w:hAnsi="宋体" w:cs="宋体"/>
          <w:color w:val="auto"/>
          <w:sz w:val="24"/>
          <w:szCs w:val="24"/>
          <w:highlight w:val="none"/>
        </w:rPr>
      </w:pPr>
    </w:p>
    <w:p>
      <w:pPr>
        <w:pStyle w:val="745"/>
        <w:spacing w:before="94" w:after="94" w:line="480" w:lineRule="auto"/>
        <w:rPr>
          <w:rFonts w:ascii="宋体" w:hAnsi="宋体" w:cs="宋体"/>
          <w:color w:val="auto"/>
          <w:sz w:val="24"/>
          <w:szCs w:val="24"/>
          <w:highlight w:val="none"/>
        </w:rPr>
      </w:pPr>
    </w:p>
    <w:p>
      <w:pPr>
        <w:pStyle w:val="745"/>
        <w:spacing w:before="94" w:after="94" w:line="480" w:lineRule="auto"/>
        <w:rPr>
          <w:rFonts w:ascii="宋体" w:hAnsi="宋体" w:cs="宋体"/>
          <w:color w:val="auto"/>
          <w:sz w:val="24"/>
          <w:szCs w:val="21"/>
          <w:highlight w:val="none"/>
        </w:rPr>
      </w:pPr>
    </w:p>
    <w:p>
      <w:pPr>
        <w:spacing w:line="500" w:lineRule="exact"/>
        <w:jc w:val="center"/>
        <w:outlineLvl w:val="0"/>
        <w:rPr>
          <w:rFonts w:ascii="Times New Roman" w:hAnsi="Times New Roman"/>
          <w:color w:val="auto"/>
          <w:sz w:val="44"/>
          <w:szCs w:val="44"/>
          <w:highlight w:val="none"/>
        </w:rPr>
      </w:pPr>
      <w:bookmarkStart w:id="108" w:name="_Toc27302"/>
      <w:r>
        <w:rPr>
          <w:rFonts w:hint="eastAsia" w:ascii="Times New Roman" w:hAnsi="Times New Roman"/>
          <w:color w:val="auto"/>
          <w:sz w:val="44"/>
          <w:szCs w:val="44"/>
          <w:highlight w:val="none"/>
        </w:rPr>
        <w:t>第六章  响应文件格式</w:t>
      </w:r>
      <w:bookmarkEnd w:id="106"/>
      <w:bookmarkEnd w:id="107"/>
      <w:bookmarkEnd w:id="108"/>
      <w:bookmarkStart w:id="109" w:name="_Hlt26671244"/>
      <w:bookmarkEnd w:id="109"/>
      <w:bookmarkStart w:id="110" w:name="_Hlt26955039"/>
      <w:bookmarkEnd w:id="110"/>
    </w:p>
    <w:p>
      <w:pPr>
        <w:jc w:val="center"/>
        <w:rPr>
          <w:rFonts w:ascii="仿宋" w:hAnsi="仿宋" w:eastAsia="仿宋" w:cs="仿宋"/>
          <w:color w:val="auto"/>
          <w:sz w:val="72"/>
          <w:szCs w:val="21"/>
          <w:highlight w:val="none"/>
        </w:rPr>
      </w:pPr>
    </w:p>
    <w:p>
      <w:pPr>
        <w:rPr>
          <w:rFonts w:ascii="仿宋" w:hAnsi="仿宋" w:eastAsia="仿宋" w:cs="仿宋"/>
          <w:color w:val="auto"/>
          <w:sz w:val="72"/>
          <w:szCs w:val="21"/>
          <w:highlight w:val="none"/>
        </w:rPr>
      </w:pPr>
    </w:p>
    <w:p>
      <w:pPr>
        <w:jc w:val="center"/>
        <w:rPr>
          <w:rFonts w:ascii="仿宋" w:hAnsi="仿宋" w:eastAsia="仿宋" w:cs="仿宋"/>
          <w:color w:val="auto"/>
          <w:sz w:val="72"/>
          <w:szCs w:val="21"/>
          <w:highlight w:val="none"/>
        </w:rPr>
      </w:pPr>
      <w:r>
        <w:rPr>
          <w:rFonts w:hint="eastAsia" w:ascii="仿宋" w:hAnsi="仿宋" w:eastAsia="仿宋" w:cs="仿宋"/>
          <w:color w:val="auto"/>
          <w:sz w:val="72"/>
          <w:szCs w:val="21"/>
          <w:highlight w:val="none"/>
        </w:rPr>
        <w:t>响  应  文  件</w:t>
      </w:r>
    </w:p>
    <w:p>
      <w:pPr>
        <w:jc w:val="center"/>
        <w:rPr>
          <w:rFonts w:ascii="仿宋" w:hAnsi="仿宋" w:eastAsia="仿宋" w:cs="仿宋"/>
          <w:color w:val="auto"/>
          <w:sz w:val="72"/>
          <w:szCs w:val="21"/>
          <w:highlight w:val="none"/>
        </w:rPr>
      </w:pPr>
    </w:p>
    <w:p>
      <w:pPr>
        <w:jc w:val="center"/>
        <w:rPr>
          <w:rFonts w:ascii="仿宋" w:hAnsi="仿宋" w:eastAsia="仿宋" w:cs="仿宋"/>
          <w:color w:val="auto"/>
          <w:sz w:val="72"/>
          <w:szCs w:val="21"/>
          <w:highlight w:val="none"/>
        </w:rPr>
      </w:pPr>
    </w:p>
    <w:p>
      <w:pPr>
        <w:jc w:val="center"/>
        <w:rPr>
          <w:rFonts w:ascii="仿宋" w:hAnsi="仿宋" w:eastAsia="仿宋" w:cs="仿宋"/>
          <w:color w:val="auto"/>
          <w:sz w:val="72"/>
          <w:szCs w:val="21"/>
          <w:highlight w:val="none"/>
        </w:rPr>
      </w:pPr>
    </w:p>
    <w:p>
      <w:pPr>
        <w:jc w:val="center"/>
        <w:rPr>
          <w:rFonts w:ascii="仿宋" w:hAnsi="仿宋" w:eastAsia="仿宋" w:cs="仿宋"/>
          <w:color w:val="auto"/>
          <w:sz w:val="36"/>
          <w:szCs w:val="21"/>
          <w:highlight w:val="none"/>
        </w:rPr>
      </w:pPr>
    </w:p>
    <w:p>
      <w:pPr>
        <w:jc w:val="center"/>
        <w:rPr>
          <w:rFonts w:ascii="仿宋" w:hAnsi="仿宋" w:eastAsia="仿宋" w:cs="仿宋"/>
          <w:color w:val="auto"/>
          <w:sz w:val="36"/>
          <w:szCs w:val="21"/>
          <w:highlight w:val="none"/>
        </w:rPr>
      </w:pPr>
    </w:p>
    <w:p>
      <w:pPr>
        <w:jc w:val="center"/>
        <w:rPr>
          <w:rFonts w:ascii="仿宋" w:hAnsi="仿宋" w:eastAsia="仿宋" w:cs="仿宋"/>
          <w:color w:val="auto"/>
          <w:sz w:val="36"/>
          <w:szCs w:val="21"/>
          <w:highlight w:val="none"/>
        </w:rPr>
      </w:pPr>
    </w:p>
    <w:p>
      <w:pPr>
        <w:ind w:firstLine="1084"/>
        <w:rPr>
          <w:rFonts w:ascii="仿宋" w:hAnsi="仿宋" w:eastAsia="仿宋" w:cs="仿宋"/>
          <w:color w:val="auto"/>
          <w:sz w:val="36"/>
          <w:highlight w:val="none"/>
        </w:rPr>
      </w:pPr>
      <w:r>
        <w:rPr>
          <w:rFonts w:hint="eastAsia" w:ascii="仿宋" w:hAnsi="仿宋" w:eastAsia="仿宋" w:cs="仿宋"/>
          <w:color w:val="auto"/>
          <w:sz w:val="36"/>
          <w:highlight w:val="none"/>
        </w:rPr>
        <w:t>项 目 名 称：</w:t>
      </w:r>
    </w:p>
    <w:p>
      <w:pPr>
        <w:ind w:firstLine="1084"/>
        <w:rPr>
          <w:rFonts w:ascii="仿宋" w:hAnsi="仿宋" w:eastAsia="仿宋" w:cs="仿宋"/>
          <w:color w:val="auto"/>
          <w:sz w:val="36"/>
          <w:highlight w:val="none"/>
          <w:u w:val="single"/>
        </w:rPr>
      </w:pPr>
      <w:r>
        <w:rPr>
          <w:rFonts w:hint="eastAsia" w:ascii="仿宋" w:hAnsi="仿宋" w:eastAsia="仿宋" w:cs="仿宋"/>
          <w:color w:val="auto"/>
          <w:sz w:val="36"/>
          <w:highlight w:val="none"/>
        </w:rPr>
        <w:t>项 目 编 号：</w:t>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供应商名称 ：</w:t>
      </w:r>
      <w:r>
        <w:rPr>
          <w:rFonts w:hint="eastAsia" w:ascii="仿宋" w:hAnsi="仿宋" w:eastAsia="仿宋" w:cs="仿宋"/>
          <w:color w:val="auto"/>
          <w:sz w:val="36"/>
          <w:highlight w:val="none"/>
          <w:u w:val="single"/>
        </w:rPr>
        <w:t>（盖CA电子公章）</w:t>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日      期 ：</w:t>
      </w:r>
    </w:p>
    <w:p>
      <w:pPr>
        <w:rPr>
          <w:rFonts w:ascii="仿宋" w:hAnsi="仿宋" w:eastAsia="仿宋" w:cs="仿宋"/>
          <w:color w:val="auto"/>
          <w:highlight w:val="none"/>
        </w:rPr>
      </w:pPr>
    </w:p>
    <w:p>
      <w:pPr>
        <w:spacing w:line="440" w:lineRule="exact"/>
        <w:jc w:val="center"/>
        <w:rPr>
          <w:rFonts w:ascii="仿宋" w:hAnsi="仿宋" w:eastAsia="仿宋" w:cs="仿宋"/>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sz w:val="32"/>
          <w:szCs w:val="32"/>
          <w:highlight w:val="none"/>
        </w:rPr>
        <w:t>响应文件目录</w:t>
      </w:r>
    </w:p>
    <w:p>
      <w:pPr>
        <w:spacing w:line="440" w:lineRule="exact"/>
        <w:jc w:val="center"/>
        <w:rPr>
          <w:rFonts w:ascii="仿宋" w:hAnsi="仿宋" w:eastAsia="仿宋" w:cs="仿宋"/>
          <w:color w:val="auto"/>
          <w:sz w:val="32"/>
          <w:szCs w:val="32"/>
          <w:highlight w:val="none"/>
        </w:rPr>
      </w:pP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一、磋商申请及声明函</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二、法人授权书</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三、磋商报价表</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四、分项报价表</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五、</w:t>
      </w:r>
      <w:r>
        <w:rPr>
          <w:rFonts w:hint="eastAsia" w:ascii="Times New Roman" w:hAnsi="Times New Roman"/>
          <w:color w:val="auto"/>
          <w:sz w:val="28"/>
          <w:szCs w:val="28"/>
        </w:rPr>
        <w:t>中小企业或残疾人福利性单位声明函</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六、项目组人员</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七、企业业绩</w:t>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八、相关证书</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九、人员配备要求承诺函</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十、服务要求承诺（一）及相关服务方案</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十一、服务要求承诺（二）及相关服务方案</w:t>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十二、服务要求承诺（</w:t>
      </w:r>
      <w:r>
        <w:rPr>
          <w:rFonts w:hint="eastAsia" w:ascii="Times New Roman" w:hAnsi="Times New Roman"/>
          <w:color w:val="auto"/>
          <w:sz w:val="28"/>
          <w:szCs w:val="28"/>
          <w:highlight w:val="none"/>
          <w:lang w:val="en-US" w:eastAsia="zh-CN"/>
        </w:rPr>
        <w:t>三</w:t>
      </w:r>
      <w:r>
        <w:rPr>
          <w:rFonts w:hint="eastAsia" w:ascii="Times New Roman" w:hAnsi="Times New Roman"/>
          <w:color w:val="auto"/>
          <w:sz w:val="28"/>
          <w:szCs w:val="28"/>
          <w:highlight w:val="none"/>
        </w:rPr>
        <w:t>）及相关服务方案</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十三、考核标准承诺</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十四、磋商所需其他材料</w:t>
      </w: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rPr>
          <w:rFonts w:ascii="仿宋" w:hAnsi="仿宋" w:eastAsia="仿宋" w:cs="仿宋"/>
          <w:color w:val="auto"/>
          <w:sz w:val="24"/>
          <w:szCs w:val="21"/>
          <w:highlight w:val="none"/>
        </w:rPr>
      </w:pPr>
    </w:p>
    <w:p>
      <w:pPr>
        <w:spacing w:line="440" w:lineRule="exact"/>
        <w:rPr>
          <w:rFonts w:ascii="仿宋" w:hAnsi="仿宋" w:eastAsia="仿宋" w:cs="仿宋"/>
          <w:color w:val="auto"/>
          <w:sz w:val="24"/>
          <w:szCs w:val="21"/>
          <w:highlight w:val="none"/>
        </w:rPr>
      </w:pPr>
    </w:p>
    <w:p>
      <w:pPr>
        <w:rPr>
          <w:color w:val="auto"/>
          <w:sz w:val="32"/>
          <w:highlight w:val="none"/>
        </w:rPr>
      </w:pPr>
      <w:r>
        <w:rPr>
          <w:rFonts w:hint="eastAsia"/>
          <w:color w:val="auto"/>
          <w:sz w:val="32"/>
          <w:highlight w:val="none"/>
        </w:rPr>
        <w:br w:type="page" w:clear="all"/>
      </w:r>
    </w:p>
    <w:p>
      <w:pPr>
        <w:pStyle w:val="87"/>
        <w:spacing w:before="0" w:after="0" w:line="520" w:lineRule="exact"/>
        <w:rPr>
          <w:rFonts w:eastAsia="宋体"/>
          <w:color w:val="auto"/>
          <w:sz w:val="32"/>
          <w:highlight w:val="none"/>
        </w:rPr>
      </w:pPr>
      <w:bookmarkStart w:id="111" w:name="OLE_LINK27"/>
      <w:r>
        <w:rPr>
          <w:rFonts w:hint="eastAsia" w:eastAsia="宋体"/>
          <w:color w:val="auto"/>
          <w:sz w:val="32"/>
          <w:highlight w:val="none"/>
        </w:rPr>
        <w:t>一、磋商声明及承诺函</w:t>
      </w:r>
    </w:p>
    <w:p>
      <w:pPr>
        <w:pStyle w:val="628"/>
        <w:jc w:val="center"/>
        <w:rPr>
          <w:rFonts w:ascii="宋体" w:hAnsi="宋体" w:cs="仿宋"/>
          <w:color w:val="auto"/>
          <w:sz w:val="24"/>
          <w:szCs w:val="24"/>
          <w:highlight w:val="none"/>
        </w:rPr>
      </w:pPr>
    </w:p>
    <w:p>
      <w:pPr>
        <w:pStyle w:val="628"/>
        <w:jc w:val="center"/>
        <w:rPr>
          <w:rFonts w:ascii="宋体" w:hAnsi="宋体" w:cs="仿宋"/>
          <w:color w:val="auto"/>
          <w:sz w:val="32"/>
          <w:szCs w:val="32"/>
          <w:highlight w:val="none"/>
        </w:rPr>
      </w:pPr>
      <w:r>
        <w:rPr>
          <w:rFonts w:hint="eastAsia" w:ascii="宋体" w:hAnsi="宋体" w:cs="仿宋"/>
          <w:color w:val="auto"/>
          <w:sz w:val="32"/>
          <w:szCs w:val="32"/>
          <w:highlight w:val="none"/>
        </w:rPr>
        <w:t>磋商声明及承诺函</w:t>
      </w:r>
    </w:p>
    <w:p>
      <w:pPr>
        <w:pStyle w:val="628"/>
        <w:spacing w:line="500" w:lineRule="exact"/>
        <w:jc w:val="left"/>
        <w:rPr>
          <w:rFonts w:ascii="宋体" w:hAnsi="宋体" w:cs="仿宋"/>
          <w:color w:val="auto"/>
          <w:sz w:val="24"/>
          <w:szCs w:val="24"/>
          <w:highlight w:val="none"/>
        </w:rPr>
      </w:pPr>
      <w:r>
        <w:rPr>
          <w:rFonts w:hint="eastAsia" w:ascii="宋体" w:hAnsi="宋体" w:cs="仿宋"/>
          <w:color w:val="auto"/>
          <w:sz w:val="24"/>
          <w:szCs w:val="24"/>
          <w:highlight w:val="none"/>
          <w:u w:val="single"/>
        </w:rPr>
        <w:t>（采购单位名称）</w:t>
      </w:r>
      <w:r>
        <w:rPr>
          <w:rFonts w:hint="eastAsia" w:ascii="宋体" w:hAnsi="宋体" w:cs="仿宋"/>
          <w:color w:val="auto"/>
          <w:sz w:val="24"/>
          <w:szCs w:val="24"/>
          <w:highlight w:val="none"/>
        </w:rPr>
        <w:t>：</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根据</w:t>
      </w:r>
      <w:r>
        <w:rPr>
          <w:rFonts w:ascii="Times New Roman" w:hAnsi="Times New Roman"/>
          <w:color w:val="auto"/>
          <w:sz w:val="24"/>
          <w:szCs w:val="24"/>
          <w:highlight w:val="none"/>
          <w:u w:val="single"/>
        </w:rPr>
        <w:t>（项目编号）</w:t>
      </w:r>
      <w:r>
        <w:rPr>
          <w:rFonts w:ascii="Times New Roman" w:hAnsi="Times New Roman"/>
          <w:color w:val="auto"/>
          <w:sz w:val="24"/>
          <w:szCs w:val="24"/>
          <w:highlight w:val="none"/>
        </w:rPr>
        <w:t>的</w:t>
      </w:r>
      <w:r>
        <w:rPr>
          <w:rFonts w:ascii="Times New Roman" w:hAnsi="Times New Roman"/>
          <w:color w:val="auto"/>
          <w:sz w:val="24"/>
          <w:szCs w:val="24"/>
          <w:highlight w:val="none"/>
          <w:u w:val="single"/>
        </w:rPr>
        <w:t>（项目名称）</w:t>
      </w:r>
      <w:r>
        <w:rPr>
          <w:rFonts w:ascii="Times New Roman" w:hAnsi="Times New Roman"/>
          <w:color w:val="auto"/>
          <w:sz w:val="24"/>
          <w:szCs w:val="24"/>
          <w:highlight w:val="none"/>
        </w:rPr>
        <w:t>竞争性磋商文件，我方在参加本项目竞争性磋商活动中，特做出如下承诺：</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一、我方具备《中华人民共和国政府采购法》第二十二条第一款规定的6项条件；</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三、我方按磋商文件要求提交响应文件，响应磋商文件规定的响应有效期；</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四、如果我方的响应文件被接受，我方将按《中华人民共和国民法典（第三编合同）》及其他有关法律、法规的规定，按期、按质、按量交付采购单位，</w:t>
      </w:r>
      <w:r>
        <w:rPr>
          <w:rFonts w:hint="eastAsia" w:ascii="Times New Roman" w:hAnsi="Times New Roman"/>
          <w:color w:val="auto"/>
          <w:sz w:val="24"/>
          <w:szCs w:val="24"/>
          <w:highlight w:val="none"/>
          <w:lang w:eastAsia="zh-CN"/>
        </w:rPr>
        <w:t>详实</w:t>
      </w:r>
      <w:r>
        <w:rPr>
          <w:rFonts w:ascii="Times New Roman" w:hAnsi="Times New Roman"/>
          <w:color w:val="auto"/>
          <w:sz w:val="24"/>
          <w:szCs w:val="24"/>
          <w:highlight w:val="none"/>
        </w:rPr>
        <w:t>做到履约守信；</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五、我方若违背本声明及承诺约定，经查实，自愿接受采购人及相关主管部门相应的规定处理，并依法承担相应的法律责任。</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六、我方同意采购人、采购代理机构将本声明及承诺进行公开。</w:t>
      </w:r>
    </w:p>
    <w:p>
      <w:pPr>
        <w:pStyle w:val="628"/>
        <w:spacing w:line="500" w:lineRule="exact"/>
        <w:ind w:firstLine="480"/>
        <w:jc w:val="left"/>
        <w:rPr>
          <w:rFonts w:ascii="Times New Roman" w:hAnsi="Times New Roman"/>
          <w:color w:val="auto"/>
          <w:sz w:val="24"/>
          <w:szCs w:val="24"/>
          <w:highlight w:val="none"/>
        </w:rPr>
      </w:pPr>
    </w:p>
    <w:p>
      <w:pPr>
        <w:pStyle w:val="628"/>
        <w:spacing w:line="500" w:lineRule="exact"/>
        <w:ind w:firstLine="480"/>
        <w:jc w:val="left"/>
        <w:rPr>
          <w:rFonts w:ascii="Times New Roman" w:hAnsi="Times New Roman"/>
          <w:color w:val="auto"/>
          <w:sz w:val="24"/>
          <w:szCs w:val="24"/>
          <w:highlight w:val="none"/>
        </w:rPr>
      </w:pP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供应商名称： （盖CA电子公章）</w:t>
      </w:r>
    </w:p>
    <w:p>
      <w:pPr>
        <w:pStyle w:val="628"/>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日期：    年    月   日</w:t>
      </w:r>
    </w:p>
    <w:p>
      <w:pPr>
        <w:spacing w:line="440" w:lineRule="exact"/>
        <w:ind w:firstLine="480"/>
        <w:rPr>
          <w:rFonts w:ascii="Times New Roman" w:hAnsi="Times New Roman" w:eastAsia="仿宋"/>
          <w:color w:val="auto"/>
          <w:sz w:val="24"/>
          <w:szCs w:val="24"/>
          <w:highlight w:val="none"/>
        </w:rPr>
      </w:pPr>
    </w:p>
    <w:bookmarkEnd w:id="111"/>
    <w:p>
      <w:pPr>
        <w:rPr>
          <w:rFonts w:ascii="宋体" w:hAnsi="宋体" w:cs="仿宋"/>
          <w:color w:val="auto"/>
          <w:sz w:val="24"/>
          <w:szCs w:val="24"/>
          <w:highlight w:val="none"/>
        </w:rPr>
      </w:pPr>
      <w:bookmarkStart w:id="112" w:name="_Toc120614284"/>
    </w:p>
    <w:p>
      <w:pPr>
        <w:pStyle w:val="628"/>
        <w:spacing w:line="500" w:lineRule="exact"/>
        <w:ind w:firstLine="480"/>
        <w:jc w:val="left"/>
        <w:rPr>
          <w:rFonts w:ascii="宋体" w:hAnsi="宋体" w:cs="仿宋"/>
          <w:color w:val="auto"/>
          <w:sz w:val="24"/>
          <w:szCs w:val="24"/>
          <w:highlight w:val="none"/>
        </w:rPr>
      </w:pPr>
    </w:p>
    <w:p>
      <w:pPr>
        <w:pStyle w:val="628"/>
        <w:spacing w:line="500" w:lineRule="exact"/>
        <w:ind w:firstLine="480"/>
        <w:jc w:val="left"/>
        <w:rPr>
          <w:rFonts w:ascii="宋体" w:hAnsi="宋体" w:cs="仿宋"/>
          <w:color w:val="auto"/>
          <w:sz w:val="24"/>
          <w:szCs w:val="24"/>
          <w:highlight w:val="none"/>
        </w:rPr>
      </w:pPr>
    </w:p>
    <w:p>
      <w:pPr>
        <w:pStyle w:val="628"/>
        <w:spacing w:line="500" w:lineRule="exact"/>
        <w:ind w:firstLine="480"/>
        <w:jc w:val="left"/>
        <w:rPr>
          <w:rFonts w:ascii="宋体" w:hAnsi="宋体" w:cs="仿宋"/>
          <w:color w:val="auto"/>
          <w:sz w:val="24"/>
          <w:szCs w:val="24"/>
          <w:highlight w:val="none"/>
        </w:rPr>
      </w:pPr>
    </w:p>
    <w:p>
      <w:pPr>
        <w:pStyle w:val="628"/>
        <w:spacing w:line="500" w:lineRule="exact"/>
        <w:ind w:firstLine="480"/>
        <w:jc w:val="left"/>
        <w:rPr>
          <w:rFonts w:ascii="宋体" w:hAnsi="宋体" w:cs="仿宋"/>
          <w:color w:val="auto"/>
          <w:sz w:val="24"/>
          <w:szCs w:val="24"/>
          <w:highlight w:val="none"/>
        </w:rPr>
      </w:pPr>
    </w:p>
    <w:p>
      <w:pPr>
        <w:pStyle w:val="87"/>
        <w:spacing w:before="0" w:after="0" w:line="520" w:lineRule="exact"/>
        <w:rPr>
          <w:rFonts w:eastAsia="宋体"/>
          <w:color w:val="auto"/>
          <w:sz w:val="32"/>
          <w:highlight w:val="none"/>
        </w:rPr>
      </w:pPr>
      <w:bookmarkStart w:id="113" w:name="OLE_LINK30"/>
      <w:r>
        <w:rPr>
          <w:rFonts w:hint="eastAsia" w:eastAsia="宋体"/>
          <w:color w:val="auto"/>
          <w:sz w:val="32"/>
          <w:highlight w:val="none"/>
        </w:rPr>
        <w:t>二、法人授权书</w:t>
      </w:r>
    </w:p>
    <w:p>
      <w:pPr>
        <w:pStyle w:val="633"/>
        <w:widowControl w:val="0"/>
        <w:jc w:val="center"/>
        <w:rPr>
          <w:rFonts w:ascii="方正小标宋_GBK" w:hAnsi="Calibri" w:eastAsia="方正小标宋_GBK"/>
          <w:b w:val="0"/>
          <w:color w:val="auto"/>
          <w:szCs w:val="32"/>
          <w:highlight w:val="none"/>
        </w:rPr>
      </w:pPr>
      <w:r>
        <w:rPr>
          <w:rFonts w:hint="eastAsia" w:ascii="方正小标宋_GBK" w:hAnsi="Calibri" w:eastAsia="方正小标宋_GBK"/>
          <w:b w:val="0"/>
          <w:color w:val="auto"/>
          <w:szCs w:val="32"/>
          <w:highlight w:val="none"/>
        </w:rPr>
        <w:t>法人授权书</w:t>
      </w:r>
    </w:p>
    <w:p>
      <w:pPr>
        <w:pStyle w:val="628"/>
        <w:spacing w:line="500" w:lineRule="exact"/>
        <w:jc w:val="left"/>
        <w:rPr>
          <w:rFonts w:ascii="仿宋" w:hAnsi="仿宋" w:eastAsia="仿宋" w:cs="仿宋"/>
          <w:color w:val="auto"/>
          <w:sz w:val="24"/>
          <w:szCs w:val="24"/>
          <w:highlight w:val="none"/>
        </w:rPr>
      </w:pP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采购活动的合法代理人，以本单位名义全权处理一切与该项目采购有关的事务。</w:t>
      </w: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本授权书于______年____月____日起生效，特此声明。</w:t>
      </w:r>
    </w:p>
    <w:p>
      <w:pPr>
        <w:pStyle w:val="628"/>
        <w:spacing w:line="500" w:lineRule="exact"/>
        <w:ind w:firstLine="480"/>
        <w:jc w:val="left"/>
        <w:rPr>
          <w:rFonts w:ascii="宋体" w:hAnsi="宋体" w:cs="仿宋"/>
          <w:color w:val="auto"/>
          <w:sz w:val="24"/>
          <w:szCs w:val="24"/>
          <w:highlight w:val="none"/>
        </w:rPr>
      </w:pP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被授权人身份证号码：</w:t>
      </w: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被授权人联系电话：（手机）</w:t>
      </w: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授权单位名称：（盖CA电子公章）</w:t>
      </w: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单位地址：</w:t>
      </w:r>
    </w:p>
    <w:p>
      <w:pPr>
        <w:pStyle w:val="628"/>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日期：</w:t>
      </w:r>
      <w:bookmarkStart w:id="114" w:name="_格式3__银行出具的资信证明"/>
      <w:bookmarkEnd w:id="114"/>
      <w:bookmarkStart w:id="115" w:name="_Hlt26671380"/>
      <w:bookmarkEnd w:id="115"/>
      <w:bookmarkStart w:id="116" w:name="_Hlt26955070"/>
      <w:bookmarkEnd w:id="116"/>
    </w:p>
    <w:bookmarkEnd w:id="113"/>
    <w:p>
      <w:pPr>
        <w:spacing w:line="500" w:lineRule="exact"/>
        <w:rPr>
          <w:rFonts w:ascii="仿宋" w:hAnsi="仿宋" w:eastAsia="仿宋" w:cs="仿宋"/>
          <w:color w:val="auto"/>
          <w:sz w:val="24"/>
          <w:szCs w:val="21"/>
          <w:highlight w:val="none"/>
        </w:rPr>
      </w:pPr>
    </w:p>
    <w:p>
      <w:pPr>
        <w:tabs>
          <w:tab w:val="left" w:pos="360"/>
        </w:tabs>
        <w:ind w:firstLine="480"/>
        <w:rPr>
          <w:rFonts w:ascii="仿宋" w:hAnsi="仿宋" w:eastAsia="仿宋" w:cs="仿宋"/>
          <w:color w:val="auto"/>
          <w:sz w:val="24"/>
          <w:szCs w:val="24"/>
          <w:highlight w:val="none"/>
          <w:u w:val="single"/>
        </w:rPr>
      </w:pPr>
    </w:p>
    <w:p>
      <w:pPr>
        <w:tabs>
          <w:tab w:val="left" w:pos="360"/>
        </w:tabs>
        <w:ind w:firstLine="480"/>
        <w:rPr>
          <w:rFonts w:ascii="仿宋" w:hAnsi="仿宋" w:eastAsia="仿宋" w:cs="仿宋"/>
          <w:color w:val="auto"/>
          <w:sz w:val="24"/>
          <w:szCs w:val="24"/>
          <w:highlight w:val="none"/>
        </w:rPr>
      </w:pPr>
    </w:p>
    <w:p>
      <w:pPr>
        <w:ind w:firstLine="420"/>
        <w:rPr>
          <w:rFonts w:ascii="仿宋" w:hAnsi="仿宋" w:eastAsia="仿宋" w:cs="仿宋"/>
          <w:i/>
          <w:color w:val="auto"/>
          <w:sz w:val="24"/>
          <w:szCs w:val="24"/>
          <w:highlight w:val="none"/>
          <w:u w:val="single"/>
        </w:rPr>
      </w:pPr>
    </w:p>
    <w:p>
      <w:pPr>
        <w:rPr>
          <w:rFonts w:ascii="仿宋" w:hAnsi="仿宋" w:eastAsia="仿宋" w:cs="仿宋"/>
          <w:color w:val="auto"/>
          <w:szCs w:val="21"/>
          <w:highlight w:val="none"/>
        </w:rPr>
      </w:pPr>
    </w:p>
    <w:p>
      <w:pPr>
        <w:spacing w:line="560" w:lineRule="exact"/>
        <w:jc w:val="left"/>
        <w:rPr>
          <w:rFonts w:ascii="仿宋" w:hAnsi="仿宋" w:eastAsia="仿宋" w:cs="仿宋"/>
          <w:color w:val="auto"/>
          <w:sz w:val="24"/>
          <w:szCs w:val="44"/>
          <w:highlight w:val="none"/>
        </w:rPr>
      </w:pPr>
    </w:p>
    <w:p>
      <w:pPr>
        <w:spacing w:line="560" w:lineRule="exact"/>
        <w:jc w:val="left"/>
        <w:rPr>
          <w:rFonts w:ascii="仿宋" w:hAnsi="仿宋" w:eastAsia="仿宋" w:cs="仿宋"/>
          <w:color w:val="auto"/>
          <w:sz w:val="24"/>
          <w:szCs w:val="24"/>
          <w:highlight w:val="none"/>
        </w:rPr>
      </w:pPr>
    </w:p>
    <w:p>
      <w:pPr>
        <w:spacing w:line="460" w:lineRule="exact"/>
        <w:jc w:val="center"/>
        <w:rPr>
          <w:rFonts w:ascii="仿宋" w:hAnsi="仿宋" w:eastAsia="仿宋" w:cs="仿宋"/>
          <w:color w:val="auto"/>
          <w:sz w:val="32"/>
          <w:szCs w:val="32"/>
          <w:highlight w:val="none"/>
        </w:rPr>
      </w:pPr>
    </w:p>
    <w:p>
      <w:pPr>
        <w:spacing w:line="460" w:lineRule="exact"/>
        <w:jc w:val="center"/>
        <w:rPr>
          <w:rFonts w:ascii="仿宋" w:hAnsi="仿宋" w:eastAsia="仿宋" w:cs="仿宋"/>
          <w:color w:val="auto"/>
          <w:sz w:val="32"/>
          <w:szCs w:val="32"/>
          <w:highlight w:val="none"/>
        </w:rPr>
      </w:pPr>
    </w:p>
    <w:p>
      <w:pPr>
        <w:spacing w:line="460" w:lineRule="exact"/>
        <w:rPr>
          <w:rFonts w:ascii="仿宋" w:hAnsi="仿宋" w:eastAsia="仿宋" w:cs="仿宋"/>
          <w:color w:val="auto"/>
          <w:sz w:val="32"/>
          <w:szCs w:val="32"/>
          <w:highlight w:val="none"/>
        </w:rPr>
      </w:pP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p>
    <w:p>
      <w:pPr>
        <w:pStyle w:val="87"/>
        <w:spacing w:before="0" w:after="0" w:line="520" w:lineRule="exact"/>
        <w:rPr>
          <w:rFonts w:eastAsia="宋体"/>
          <w:color w:val="auto"/>
          <w:sz w:val="32"/>
          <w:highlight w:val="none"/>
        </w:rPr>
      </w:pPr>
      <w:bookmarkStart w:id="117" w:name="OLE_LINK29"/>
      <w:r>
        <w:rPr>
          <w:rFonts w:hint="eastAsia" w:eastAsia="宋体"/>
          <w:color w:val="auto"/>
          <w:sz w:val="32"/>
          <w:highlight w:val="none"/>
        </w:rPr>
        <w:t>三、磋商报价表</w:t>
      </w:r>
    </w:p>
    <w:p>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none"/>
        </w:rPr>
      </w:pPr>
      <w:r>
        <w:rPr>
          <w:rFonts w:ascii="Times New Roman" w:hAnsi="Times New Roman" w:cs="仿宋"/>
          <w:color w:val="auto"/>
          <w:sz w:val="24"/>
          <w:highlight w:val="none"/>
        </w:rPr>
        <w:t>本次为首次报价</w:t>
      </w:r>
    </w:p>
    <w:p>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货币单位：人民币元</w:t>
      </w:r>
    </w:p>
    <w:p>
      <w:pPr>
        <w:pBdr>
          <w:top w:val="none" w:color="000000" w:sz="0" w:space="0"/>
          <w:left w:val="none" w:color="000000" w:sz="0" w:space="0"/>
          <w:bottom w:val="none" w:color="000000" w:sz="0" w:space="0"/>
          <w:right w:val="none" w:color="000000" w:sz="0" w:space="0"/>
        </w:pBdr>
        <w:spacing w:line="480" w:lineRule="exact"/>
        <w:rPr>
          <w:rFonts w:hint="default" w:ascii="Times New Roman" w:hAnsi="Times New Roman" w:eastAsia="宋体" w:cs="仿宋"/>
          <w:color w:val="auto"/>
          <w:sz w:val="24"/>
          <w:highlight w:val="none"/>
          <w:lang w:val="en-US" w:eastAsia="zh-CN"/>
        </w:rPr>
      </w:pPr>
      <w:r>
        <w:rPr>
          <w:rFonts w:ascii="Times New Roman" w:hAnsi="Times New Roman" w:cs="仿宋"/>
          <w:color w:val="auto"/>
          <w:sz w:val="24"/>
          <w:highlight w:val="none"/>
        </w:rPr>
        <w:t>项目编号：</w:t>
      </w:r>
      <w:r>
        <w:rPr>
          <w:rFonts w:hint="eastAsia" w:ascii="Times New Roman" w:hAnsi="Times New Roman" w:cs="仿宋"/>
          <w:color w:val="auto"/>
          <w:sz w:val="24"/>
          <w:highlight w:val="none"/>
          <w:lang w:val="en-US" w:eastAsia="zh-CN"/>
        </w:rPr>
        <w:t xml:space="preserve">                                             </w:t>
      </w:r>
    </w:p>
    <w:tbl>
      <w:tblPr>
        <w:tblStyle w:val="38"/>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264"/>
        <w:gridCol w:w="2220"/>
        <w:gridCol w:w="1815"/>
        <w:gridCol w:w="280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项目名称</w:t>
            </w:r>
          </w:p>
        </w:tc>
        <w:tc>
          <w:tcPr>
            <w:tcW w:w="222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项目内容</w:t>
            </w:r>
          </w:p>
        </w:tc>
        <w:tc>
          <w:tcPr>
            <w:tcW w:w="1815"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总价（小写）</w:t>
            </w:r>
          </w:p>
        </w:tc>
        <w:tc>
          <w:tcPr>
            <w:tcW w:w="280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s="仿宋"/>
                <w:color w:val="auto"/>
                <w:sz w:val="24"/>
                <w:highlight w:val="none"/>
              </w:rPr>
            </w:pPr>
            <w:r>
              <w:rPr>
                <w:rFonts w:hint="eastAsia" w:ascii="Times New Roman" w:hAnsi="Times New Roman" w:cs="仿宋"/>
                <w:color w:val="auto"/>
                <w:sz w:val="24"/>
                <w:highlight w:val="none"/>
              </w:rPr>
              <w:t>合同履行期限</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项目名称</w:t>
            </w:r>
          </w:p>
        </w:tc>
        <w:tc>
          <w:tcPr>
            <w:tcW w:w="222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详见响应文件</w:t>
            </w:r>
          </w:p>
        </w:tc>
        <w:tc>
          <w:tcPr>
            <w:tcW w:w="1815"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ind w:firstLine="240"/>
              <w:jc w:val="center"/>
              <w:rPr>
                <w:rFonts w:ascii="Times New Roman" w:hAnsi="Times New Roman"/>
                <w:color w:val="auto"/>
                <w:highlight w:val="none"/>
              </w:rPr>
            </w:pPr>
            <w:r>
              <w:rPr>
                <w:rFonts w:ascii="Times New Roman" w:hAnsi="Times New Roman" w:cs="仿宋"/>
                <w:color w:val="auto"/>
                <w:sz w:val="24"/>
                <w:highlight w:val="none"/>
              </w:rPr>
              <w:t>元</w:t>
            </w:r>
          </w:p>
        </w:tc>
        <w:tc>
          <w:tcPr>
            <w:tcW w:w="280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ind w:firstLine="1680"/>
              <w:rPr>
                <w:rFonts w:ascii="Times New Roman" w:hAnsi="Times New Roman" w:cs="仿宋"/>
                <w:color w:val="auto"/>
                <w:sz w:val="24"/>
                <w:highlight w:val="none"/>
              </w:rPr>
            </w:pPr>
            <w:r>
              <w:rPr>
                <w:rFonts w:hint="eastAsia" w:ascii="Times New Roman" w:hAnsi="Times New Roman" w:cs="仿宋"/>
                <w:color w:val="auto"/>
                <w:sz w:val="24"/>
                <w:highlight w:val="none"/>
              </w:rPr>
              <w:t>年</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hint="eastAsia" w:ascii="Times New Roman" w:hAnsi="Times New Roman" w:cs="仿宋"/>
                <w:color w:val="auto"/>
                <w:sz w:val="24"/>
                <w:highlight w:val="none"/>
              </w:rPr>
              <w:t>磋商</w:t>
            </w:r>
            <w:r>
              <w:rPr>
                <w:rFonts w:ascii="Times New Roman" w:hAnsi="Times New Roman" w:cs="仿宋"/>
                <w:color w:val="auto"/>
                <w:sz w:val="24"/>
                <w:highlight w:val="none"/>
              </w:rPr>
              <w:t>总价（大写）</w:t>
            </w:r>
          </w:p>
        </w:tc>
        <w:tc>
          <w:tcPr>
            <w:tcW w:w="6836" w:type="dxa"/>
            <w:gridSpan w:val="3"/>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none"/>
              </w:rPr>
            </w:pPr>
            <w:r>
              <w:rPr>
                <w:rFonts w:ascii="Times New Roman" w:hAnsi="Times New Roman" w:cs="仿宋"/>
                <w:color w:val="auto"/>
                <w:sz w:val="24"/>
                <w:highlight w:val="none"/>
              </w:rPr>
              <w:t>金额大写</w:t>
            </w:r>
            <w:r>
              <w:rPr>
                <w:rFonts w:ascii="Times New Roman" w:hAnsi="Times New Roman" w:cs="Calibri"/>
                <w:color w:val="auto"/>
                <w:sz w:val="24"/>
                <w:highlight w:val="none"/>
              </w:rPr>
              <w:t> </w:t>
            </w:r>
          </w:p>
        </w:tc>
      </w:tr>
    </w:tbl>
    <w:p>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none"/>
        </w:rPr>
      </w:pPr>
      <w:r>
        <w:rPr>
          <w:rFonts w:ascii="Times New Roman" w:hAnsi="Times New Roman" w:cs="仿宋"/>
          <w:color w:val="auto"/>
          <w:sz w:val="24"/>
          <w:highlight w:val="none"/>
        </w:rPr>
        <w:t>供</w:t>
      </w:r>
      <w:r>
        <w:rPr>
          <w:rFonts w:ascii="宋体" w:hAnsi="宋体" w:cs="仿宋"/>
          <w:color w:val="auto"/>
          <w:sz w:val="24"/>
          <w:highlight w:val="none"/>
        </w:rPr>
        <w:t>应商（CA电子签章）：</w:t>
      </w:r>
      <w:r>
        <w:rPr>
          <w:rFonts w:ascii="宋体" w:hAnsi="宋体" w:cs="仿宋"/>
          <w:color w:val="auto"/>
          <w:sz w:val="24"/>
          <w:highlight w:val="none"/>
          <w:u w:val="single"/>
        </w:rPr>
        <w:t>供应商名称</w:t>
      </w:r>
    </w:p>
    <w:p>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none"/>
        </w:rPr>
      </w:pPr>
      <w:r>
        <w:rPr>
          <w:rFonts w:ascii="宋体" w:hAnsi="宋体" w:cs="仿宋"/>
          <w:color w:val="auto"/>
          <w:sz w:val="24"/>
          <w:highlight w:val="none"/>
        </w:rPr>
        <w:t>日期：</w:t>
      </w:r>
      <w:r>
        <w:rPr>
          <w:rFonts w:ascii="宋体" w:hAnsi="宋体" w:cs="Calibri"/>
          <w:color w:val="auto"/>
          <w:sz w:val="24"/>
          <w:highlight w:val="none"/>
        </w:rPr>
        <w:t xml:space="preserve">   </w:t>
      </w:r>
      <w:r>
        <w:rPr>
          <w:rFonts w:ascii="宋体" w:hAnsi="宋体" w:cs="仿宋"/>
          <w:color w:val="auto"/>
          <w:sz w:val="24"/>
          <w:highlight w:val="none"/>
        </w:rPr>
        <w:t>年</w:t>
      </w:r>
      <w:r>
        <w:rPr>
          <w:rFonts w:ascii="宋体" w:hAnsi="宋体" w:cs="Calibri"/>
          <w:color w:val="auto"/>
          <w:sz w:val="24"/>
          <w:highlight w:val="none"/>
        </w:rPr>
        <w:t xml:space="preserve">   </w:t>
      </w:r>
      <w:r>
        <w:rPr>
          <w:rFonts w:ascii="宋体" w:hAnsi="宋体" w:cs="仿宋"/>
          <w:color w:val="auto"/>
          <w:sz w:val="24"/>
          <w:highlight w:val="none"/>
        </w:rPr>
        <w:t>月</w:t>
      </w:r>
      <w:r>
        <w:rPr>
          <w:rFonts w:ascii="宋体" w:hAnsi="宋体" w:cs="Calibri"/>
          <w:color w:val="auto"/>
          <w:sz w:val="24"/>
          <w:highlight w:val="none"/>
        </w:rPr>
        <w:t xml:space="preserve">   </w:t>
      </w:r>
      <w:r>
        <w:rPr>
          <w:rFonts w:ascii="宋体" w:hAnsi="宋体" w:cs="仿宋"/>
          <w:color w:val="auto"/>
          <w:sz w:val="24"/>
          <w:highlight w:val="none"/>
        </w:rPr>
        <w:t>日</w:t>
      </w:r>
    </w:p>
    <w:p>
      <w:pPr>
        <w:spacing w:line="480" w:lineRule="exact"/>
        <w:rPr>
          <w:rFonts w:ascii="宋体" w:hAnsi="宋体" w:cs="黑体"/>
          <w:color w:val="auto"/>
          <w:sz w:val="32"/>
          <w:szCs w:val="24"/>
          <w:highlight w:val="none"/>
        </w:rPr>
      </w:pPr>
    </w:p>
    <w:p>
      <w:pPr>
        <w:spacing w:line="460" w:lineRule="exact"/>
        <w:rPr>
          <w:rFonts w:ascii="黑体" w:hAnsi="黑体" w:eastAsia="黑体" w:cs="黑体"/>
          <w:color w:val="auto"/>
          <w:sz w:val="32"/>
          <w:szCs w:val="24"/>
          <w:highlight w:val="none"/>
        </w:rPr>
      </w:pPr>
    </w:p>
    <w:p>
      <w:pPr>
        <w:rPr>
          <w:rFonts w:ascii="黑体" w:hAnsi="黑体" w:eastAsia="黑体" w:cs="黑体"/>
          <w:color w:val="auto"/>
          <w:sz w:val="32"/>
          <w:szCs w:val="24"/>
          <w:highlight w:val="none"/>
        </w:rPr>
      </w:pPr>
      <w:r>
        <w:rPr>
          <w:rFonts w:ascii="黑体" w:hAnsi="黑体" w:eastAsia="黑体" w:cs="黑体"/>
          <w:color w:val="auto"/>
          <w:sz w:val="32"/>
          <w:szCs w:val="24"/>
          <w:highlight w:val="none"/>
        </w:rPr>
        <w:br w:type="page" w:clear="all"/>
      </w:r>
    </w:p>
    <w:p>
      <w:pPr>
        <w:pStyle w:val="87"/>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四、分项报价表</w:t>
      </w:r>
    </w:p>
    <w:tbl>
      <w:tblPr>
        <w:tblStyle w:val="37"/>
        <w:tblW w:w="10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1966"/>
        <w:gridCol w:w="2410"/>
        <w:gridCol w:w="1458"/>
        <w:gridCol w:w="1167"/>
        <w:gridCol w:w="875"/>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9" w:hRule="atLeast"/>
          <w:jc w:val="center"/>
        </w:trPr>
        <w:tc>
          <w:tcPr>
            <w:tcW w:w="10000" w:type="dxa"/>
            <w:gridSpan w:val="7"/>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工资、保险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0" w:hRule="atLeast"/>
          <w:jc w:val="center"/>
        </w:trPr>
        <w:tc>
          <w:tcPr>
            <w:tcW w:w="883" w:type="dxa"/>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序号</w:t>
            </w:r>
          </w:p>
        </w:tc>
        <w:tc>
          <w:tcPr>
            <w:tcW w:w="1966" w:type="dxa"/>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项目</w:t>
            </w:r>
          </w:p>
        </w:tc>
        <w:tc>
          <w:tcPr>
            <w:tcW w:w="2410" w:type="dxa"/>
            <w:vAlign w:val="center"/>
          </w:tcPr>
          <w:p>
            <w:pPr>
              <w:pStyle w:val="654"/>
              <w:spacing w:line="360" w:lineRule="exact"/>
              <w:jc w:val="center"/>
              <w:rPr>
                <w:rFonts w:hint="eastAsia" w:ascii="宋体" w:hAnsi="宋体" w:cs="宋体"/>
                <w:color w:val="auto"/>
                <w:sz w:val="24"/>
                <w:szCs w:val="24"/>
              </w:rPr>
            </w:pPr>
            <w:r>
              <w:rPr>
                <w:rFonts w:hint="eastAsia" w:ascii="宋体" w:hAnsi="宋体" w:cs="宋体"/>
                <w:color w:val="auto"/>
                <w:sz w:val="24"/>
                <w:szCs w:val="24"/>
              </w:rPr>
              <w:t>分项内容</w:t>
            </w:r>
          </w:p>
        </w:tc>
        <w:tc>
          <w:tcPr>
            <w:tcW w:w="1458" w:type="dxa"/>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费用单价/月工资</w:t>
            </w:r>
          </w:p>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（元）</w:t>
            </w:r>
          </w:p>
        </w:tc>
        <w:tc>
          <w:tcPr>
            <w:tcW w:w="1167" w:type="dxa"/>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人数</w:t>
            </w:r>
          </w:p>
        </w:tc>
        <w:tc>
          <w:tcPr>
            <w:tcW w:w="875" w:type="dxa"/>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月数</w:t>
            </w:r>
          </w:p>
        </w:tc>
        <w:tc>
          <w:tcPr>
            <w:tcW w:w="1241" w:type="dxa"/>
            <w:vAlign w:val="center"/>
          </w:tcPr>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合价/2年工资</w:t>
            </w:r>
          </w:p>
          <w:p>
            <w:pPr>
              <w:pStyle w:val="735"/>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883" w:type="dxa"/>
            <w:vAlign w:val="center"/>
          </w:tcPr>
          <w:p>
            <w:pPr>
              <w:pStyle w:val="73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1</w:t>
            </w:r>
          </w:p>
        </w:tc>
        <w:tc>
          <w:tcPr>
            <w:tcW w:w="1966" w:type="dxa"/>
            <w:vMerge w:val="restart"/>
            <w:vAlign w:val="center"/>
          </w:tcPr>
          <w:p>
            <w:pPr>
              <w:pStyle w:val="73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人员工资</w:t>
            </w:r>
          </w:p>
        </w:tc>
        <w:tc>
          <w:tcPr>
            <w:tcW w:w="2410" w:type="dxa"/>
            <w:vAlign w:val="center"/>
          </w:tcPr>
          <w:p>
            <w:pPr>
              <w:pStyle w:val="736"/>
              <w:widowControl/>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保洁人员</w:t>
            </w: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p>
        </w:tc>
        <w:tc>
          <w:tcPr>
            <w:tcW w:w="875"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24</w:t>
            </w: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p>
        </w:tc>
        <w:tc>
          <w:tcPr>
            <w:tcW w:w="1966" w:type="dxa"/>
            <w:vMerge w:val="continue"/>
            <w:vAlign w:val="center"/>
          </w:tcPr>
          <w:p>
            <w:pPr>
              <w:pStyle w:val="641"/>
              <w:widowControl/>
              <w:spacing w:line="360" w:lineRule="exact"/>
              <w:jc w:val="left"/>
              <w:rPr>
                <w:rFonts w:hint="eastAsia" w:ascii="宋体" w:hAnsi="宋体" w:cs="宋体"/>
                <w:color w:val="auto"/>
                <w:sz w:val="24"/>
                <w:szCs w:val="24"/>
              </w:rPr>
            </w:pPr>
          </w:p>
        </w:tc>
        <w:tc>
          <w:tcPr>
            <w:tcW w:w="2410" w:type="dxa"/>
            <w:vAlign w:val="center"/>
          </w:tcPr>
          <w:p>
            <w:pPr>
              <w:pStyle w:val="736"/>
              <w:widowControl/>
              <w:spacing w:line="36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消控室值班人员</w:t>
            </w: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lang w:val="en-US" w:eastAsia="zh-CN"/>
              </w:rPr>
              <w:t>2</w:t>
            </w:r>
          </w:p>
        </w:tc>
        <w:tc>
          <w:tcPr>
            <w:tcW w:w="875" w:type="dxa"/>
            <w:vAlign w:val="center"/>
          </w:tcPr>
          <w:p>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24</w:t>
            </w: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966" w:type="dxa"/>
            <w:vMerge w:val="continue"/>
            <w:vAlign w:val="center"/>
          </w:tcPr>
          <w:p>
            <w:pPr>
              <w:pStyle w:val="641"/>
              <w:widowControl/>
              <w:spacing w:line="360" w:lineRule="exact"/>
              <w:jc w:val="left"/>
              <w:rPr>
                <w:rFonts w:hint="eastAsia" w:ascii="宋体" w:hAnsi="宋体" w:cs="宋体"/>
                <w:color w:val="auto"/>
                <w:sz w:val="24"/>
                <w:szCs w:val="24"/>
              </w:rPr>
            </w:pPr>
          </w:p>
        </w:tc>
        <w:tc>
          <w:tcPr>
            <w:tcW w:w="2410" w:type="dxa"/>
            <w:vAlign w:val="center"/>
          </w:tcPr>
          <w:p>
            <w:pPr>
              <w:pStyle w:val="736"/>
              <w:widowControl/>
              <w:spacing w:line="360" w:lineRule="exact"/>
              <w:jc w:val="center"/>
              <w:rPr>
                <w:rFonts w:hint="eastAsia" w:ascii="宋体" w:hAnsi="宋体" w:cs="宋体"/>
                <w:color w:val="auto"/>
                <w:sz w:val="24"/>
                <w:szCs w:val="24"/>
              </w:rPr>
            </w:pP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eastAsia="宋体" w:cs="宋体"/>
                <w:color w:val="auto"/>
                <w:sz w:val="24"/>
                <w:szCs w:val="24"/>
                <w:lang w:eastAsia="zh-CN"/>
              </w:rPr>
            </w:pPr>
          </w:p>
        </w:tc>
        <w:tc>
          <w:tcPr>
            <w:tcW w:w="875" w:type="dxa"/>
            <w:vAlign w:val="center"/>
          </w:tcPr>
          <w:p>
            <w:pPr>
              <w:spacing w:line="360" w:lineRule="exact"/>
              <w:jc w:val="center"/>
              <w:rPr>
                <w:rFonts w:hint="eastAsia" w:ascii="宋体" w:hAnsi="宋体" w:cs="宋体"/>
                <w:color w:val="auto"/>
                <w:sz w:val="24"/>
                <w:szCs w:val="24"/>
              </w:rPr>
            </w:pP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1966" w:type="dxa"/>
            <w:vMerge w:val="continue"/>
            <w:vAlign w:val="center"/>
          </w:tcPr>
          <w:p>
            <w:pPr>
              <w:pStyle w:val="641"/>
              <w:widowControl/>
              <w:spacing w:line="360" w:lineRule="exact"/>
              <w:jc w:val="left"/>
              <w:rPr>
                <w:rFonts w:hint="eastAsia" w:ascii="宋体" w:hAnsi="宋体" w:cs="宋体"/>
                <w:color w:val="auto"/>
                <w:sz w:val="24"/>
                <w:szCs w:val="24"/>
              </w:rPr>
            </w:pPr>
          </w:p>
        </w:tc>
        <w:tc>
          <w:tcPr>
            <w:tcW w:w="2410" w:type="dxa"/>
            <w:vAlign w:val="center"/>
          </w:tcPr>
          <w:p>
            <w:pPr>
              <w:pStyle w:val="736"/>
              <w:widowControl/>
              <w:spacing w:line="360" w:lineRule="exact"/>
              <w:jc w:val="center"/>
              <w:rPr>
                <w:rFonts w:hint="eastAsia" w:ascii="宋体" w:hAnsi="宋体" w:cs="宋体"/>
                <w:color w:val="auto"/>
                <w:sz w:val="24"/>
                <w:szCs w:val="24"/>
              </w:rPr>
            </w:pP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cs="宋体"/>
                <w:color w:val="auto"/>
                <w:sz w:val="24"/>
                <w:szCs w:val="24"/>
              </w:rPr>
            </w:pPr>
          </w:p>
        </w:tc>
        <w:tc>
          <w:tcPr>
            <w:tcW w:w="875" w:type="dxa"/>
            <w:vAlign w:val="center"/>
          </w:tcPr>
          <w:p>
            <w:pPr>
              <w:spacing w:line="360" w:lineRule="exact"/>
              <w:jc w:val="center"/>
              <w:rPr>
                <w:rFonts w:hint="eastAsia" w:ascii="宋体" w:hAnsi="宋体" w:cs="宋体"/>
                <w:color w:val="auto"/>
                <w:sz w:val="24"/>
                <w:szCs w:val="24"/>
              </w:rPr>
            </w:pP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1966" w:type="dxa"/>
            <w:vMerge w:val="continue"/>
            <w:vAlign w:val="center"/>
          </w:tcPr>
          <w:p>
            <w:pPr>
              <w:pStyle w:val="641"/>
              <w:widowControl/>
              <w:spacing w:line="360" w:lineRule="exact"/>
              <w:jc w:val="left"/>
              <w:rPr>
                <w:rFonts w:hint="eastAsia" w:ascii="宋体" w:hAnsi="宋体" w:cs="宋体"/>
                <w:color w:val="auto"/>
                <w:sz w:val="24"/>
                <w:szCs w:val="24"/>
              </w:rPr>
            </w:pPr>
          </w:p>
        </w:tc>
        <w:tc>
          <w:tcPr>
            <w:tcW w:w="2410" w:type="dxa"/>
            <w:vAlign w:val="center"/>
          </w:tcPr>
          <w:p>
            <w:pPr>
              <w:pStyle w:val="736"/>
              <w:widowControl/>
              <w:spacing w:line="360" w:lineRule="exact"/>
              <w:jc w:val="center"/>
              <w:rPr>
                <w:rFonts w:hint="eastAsia" w:ascii="宋体" w:hAnsi="宋体" w:cs="宋体"/>
                <w:color w:val="auto"/>
                <w:sz w:val="24"/>
                <w:szCs w:val="24"/>
              </w:rPr>
            </w:pP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cs="宋体"/>
                <w:color w:val="auto"/>
                <w:sz w:val="24"/>
                <w:szCs w:val="24"/>
              </w:rPr>
            </w:pPr>
          </w:p>
        </w:tc>
        <w:tc>
          <w:tcPr>
            <w:tcW w:w="875" w:type="dxa"/>
            <w:vAlign w:val="center"/>
          </w:tcPr>
          <w:p>
            <w:pPr>
              <w:spacing w:line="360" w:lineRule="exact"/>
              <w:jc w:val="center"/>
              <w:rPr>
                <w:rFonts w:hint="eastAsia" w:ascii="宋体" w:hAnsi="宋体" w:cs="宋体"/>
                <w:color w:val="auto"/>
                <w:sz w:val="24"/>
                <w:szCs w:val="24"/>
              </w:rPr>
            </w:pP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1966" w:type="dxa"/>
            <w:vMerge w:val="continue"/>
            <w:vAlign w:val="center"/>
          </w:tcPr>
          <w:p>
            <w:pPr>
              <w:pStyle w:val="641"/>
              <w:widowControl/>
              <w:spacing w:line="360" w:lineRule="exact"/>
              <w:jc w:val="left"/>
              <w:rPr>
                <w:rFonts w:hint="eastAsia" w:ascii="宋体" w:hAnsi="宋体" w:cs="宋体"/>
                <w:color w:val="auto"/>
                <w:sz w:val="24"/>
                <w:szCs w:val="24"/>
              </w:rPr>
            </w:pPr>
          </w:p>
        </w:tc>
        <w:tc>
          <w:tcPr>
            <w:tcW w:w="2410" w:type="dxa"/>
            <w:vAlign w:val="center"/>
          </w:tcPr>
          <w:p>
            <w:pPr>
              <w:pStyle w:val="736"/>
              <w:widowControl/>
              <w:spacing w:line="360" w:lineRule="exact"/>
              <w:jc w:val="center"/>
              <w:rPr>
                <w:rFonts w:hint="eastAsia" w:ascii="宋体" w:hAnsi="宋体" w:cs="宋体"/>
                <w:color w:val="auto"/>
                <w:sz w:val="24"/>
                <w:szCs w:val="24"/>
              </w:rPr>
            </w:pP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cs="宋体"/>
                <w:color w:val="auto"/>
                <w:sz w:val="24"/>
                <w:szCs w:val="24"/>
              </w:rPr>
            </w:pPr>
          </w:p>
        </w:tc>
        <w:tc>
          <w:tcPr>
            <w:tcW w:w="875" w:type="dxa"/>
            <w:vAlign w:val="center"/>
          </w:tcPr>
          <w:p>
            <w:pPr>
              <w:spacing w:line="360" w:lineRule="exact"/>
              <w:jc w:val="center"/>
              <w:rPr>
                <w:rFonts w:hint="eastAsia" w:ascii="宋体" w:hAnsi="宋体" w:cs="宋体"/>
                <w:color w:val="auto"/>
                <w:sz w:val="24"/>
                <w:szCs w:val="24"/>
              </w:rPr>
            </w:pP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1966" w:type="dxa"/>
            <w:vMerge w:val="continue"/>
            <w:vAlign w:val="center"/>
          </w:tcPr>
          <w:p>
            <w:pPr>
              <w:pStyle w:val="641"/>
              <w:widowControl/>
              <w:spacing w:line="360" w:lineRule="exact"/>
              <w:jc w:val="left"/>
              <w:rPr>
                <w:rFonts w:hint="eastAsia" w:ascii="宋体" w:hAnsi="宋体" w:cs="宋体"/>
                <w:color w:val="auto"/>
                <w:sz w:val="24"/>
                <w:szCs w:val="24"/>
              </w:rPr>
            </w:pPr>
          </w:p>
        </w:tc>
        <w:tc>
          <w:tcPr>
            <w:tcW w:w="2410" w:type="dxa"/>
            <w:vAlign w:val="center"/>
          </w:tcPr>
          <w:p>
            <w:pPr>
              <w:pStyle w:val="736"/>
              <w:widowControl/>
              <w:spacing w:line="360" w:lineRule="exact"/>
              <w:jc w:val="center"/>
              <w:rPr>
                <w:rFonts w:hint="eastAsia" w:ascii="宋体" w:hAnsi="宋体" w:cs="宋体"/>
                <w:color w:val="auto"/>
                <w:sz w:val="24"/>
                <w:szCs w:val="24"/>
              </w:rPr>
            </w:pP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eastAsia" w:ascii="宋体" w:hAnsi="宋体" w:cs="宋体"/>
                <w:color w:val="auto"/>
                <w:sz w:val="24"/>
                <w:szCs w:val="24"/>
              </w:rPr>
            </w:pPr>
          </w:p>
        </w:tc>
        <w:tc>
          <w:tcPr>
            <w:tcW w:w="875" w:type="dxa"/>
            <w:vAlign w:val="center"/>
          </w:tcPr>
          <w:p>
            <w:pPr>
              <w:spacing w:line="360" w:lineRule="exact"/>
              <w:jc w:val="center"/>
              <w:rPr>
                <w:rFonts w:hint="eastAsia" w:ascii="宋体" w:hAnsi="宋体" w:cs="宋体"/>
                <w:color w:val="auto"/>
                <w:sz w:val="24"/>
                <w:szCs w:val="24"/>
              </w:rPr>
            </w:pP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1966" w:type="dxa"/>
            <w:vMerge w:val="restart"/>
            <w:vAlign w:val="center"/>
          </w:tcPr>
          <w:p>
            <w:pPr>
              <w:pStyle w:val="641"/>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保险费用</w:t>
            </w:r>
          </w:p>
        </w:tc>
        <w:tc>
          <w:tcPr>
            <w:tcW w:w="2410"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意外险</w:t>
            </w:r>
            <w:r>
              <w:rPr>
                <w:rFonts w:hint="eastAsia" w:ascii="宋体" w:hAnsi="宋体" w:eastAsia="宋体" w:cs="宋体"/>
                <w:color w:val="auto"/>
                <w:sz w:val="24"/>
                <w:szCs w:val="24"/>
                <w:highlight w:val="none"/>
                <w:lang w:val="zh-CN"/>
              </w:rPr>
              <w:t>（或雇主责任险）</w:t>
            </w: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875" w:type="dxa"/>
            <w:vAlign w:val="center"/>
          </w:tcPr>
          <w:p>
            <w:pPr>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24</w:t>
            </w: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9"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p>
        </w:tc>
        <w:tc>
          <w:tcPr>
            <w:tcW w:w="1966" w:type="dxa"/>
            <w:vMerge w:val="continue"/>
            <w:vAlign w:val="center"/>
          </w:tcPr>
          <w:p>
            <w:pPr>
              <w:pStyle w:val="641"/>
              <w:widowControl/>
              <w:spacing w:line="360" w:lineRule="exact"/>
              <w:jc w:val="center"/>
              <w:rPr>
                <w:rFonts w:hint="eastAsia" w:ascii="宋体" w:hAnsi="宋体" w:cs="宋体"/>
                <w:color w:val="auto"/>
                <w:sz w:val="24"/>
                <w:szCs w:val="24"/>
              </w:rPr>
            </w:pPr>
          </w:p>
        </w:tc>
        <w:tc>
          <w:tcPr>
            <w:tcW w:w="2410"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社保</w:t>
            </w:r>
          </w:p>
        </w:tc>
        <w:tc>
          <w:tcPr>
            <w:tcW w:w="1458" w:type="dxa"/>
            <w:vAlign w:val="center"/>
          </w:tcPr>
          <w:p>
            <w:pPr>
              <w:pStyle w:val="736"/>
              <w:spacing w:line="360" w:lineRule="exact"/>
              <w:jc w:val="center"/>
              <w:rPr>
                <w:rFonts w:hint="eastAsia" w:ascii="宋体" w:hAnsi="宋体" w:cs="宋体"/>
                <w:color w:val="auto"/>
                <w:sz w:val="24"/>
                <w:szCs w:val="24"/>
              </w:rPr>
            </w:pPr>
          </w:p>
        </w:tc>
        <w:tc>
          <w:tcPr>
            <w:tcW w:w="1167" w:type="dxa"/>
            <w:vAlign w:val="center"/>
          </w:tcPr>
          <w:p>
            <w:pPr>
              <w:pStyle w:val="736"/>
              <w:widowControl/>
              <w:spacing w:line="360" w:lineRule="exact"/>
              <w:jc w:val="center"/>
              <w:rPr>
                <w:rFonts w:hint="default" w:ascii="宋体" w:hAnsi="宋体" w:eastAsia="宋体" w:cs="宋体"/>
                <w:color w:val="auto"/>
                <w:sz w:val="24"/>
                <w:szCs w:val="24"/>
                <w:lang w:val="en-US" w:eastAsia="zh-CN"/>
              </w:rPr>
            </w:pPr>
          </w:p>
        </w:tc>
        <w:tc>
          <w:tcPr>
            <w:tcW w:w="875" w:type="dxa"/>
            <w:vAlign w:val="center"/>
          </w:tcPr>
          <w:p>
            <w:pPr>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24</w:t>
            </w:r>
          </w:p>
        </w:tc>
        <w:tc>
          <w:tcPr>
            <w:tcW w:w="1241" w:type="dxa"/>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9" w:hRule="atLeast"/>
          <w:jc w:val="center"/>
        </w:trPr>
        <w:tc>
          <w:tcPr>
            <w:tcW w:w="10000" w:type="dxa"/>
            <w:gridSpan w:val="7"/>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其他费用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883"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序号</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项目</w:t>
            </w:r>
          </w:p>
        </w:tc>
        <w:tc>
          <w:tcPr>
            <w:tcW w:w="7151" w:type="dxa"/>
            <w:gridSpan w:val="5"/>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分项报价（元/2年）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7"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设备(工具)或者折旧费、耗材费</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垃圾清运费</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8"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服装费</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76" w:hRule="atLeast"/>
          <w:jc w:val="center"/>
        </w:trPr>
        <w:tc>
          <w:tcPr>
            <w:tcW w:w="883" w:type="dxa"/>
            <w:vAlign w:val="center"/>
          </w:tcPr>
          <w:p>
            <w:pPr>
              <w:pStyle w:val="736"/>
              <w:spacing w:line="36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人员福利核算（中秋、春节、高温补贴、可能产生的加班费等）</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4</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i/>
                <w:iCs/>
                <w:color w:val="auto"/>
                <w:sz w:val="24"/>
                <w:szCs w:val="24"/>
              </w:rPr>
              <w:t>利润</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0" w:hRule="atLeast"/>
          <w:jc w:val="center"/>
        </w:trPr>
        <w:tc>
          <w:tcPr>
            <w:tcW w:w="883" w:type="dxa"/>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5</w:t>
            </w:r>
          </w:p>
        </w:tc>
        <w:tc>
          <w:tcPr>
            <w:tcW w:w="1966" w:type="dxa"/>
            <w:vAlign w:val="center"/>
          </w:tcPr>
          <w:p>
            <w:pPr>
              <w:pStyle w:val="736"/>
              <w:spacing w:line="360" w:lineRule="exact"/>
              <w:jc w:val="center"/>
              <w:rPr>
                <w:rFonts w:hint="eastAsia" w:ascii="宋体" w:hAnsi="宋体" w:cs="宋体"/>
                <w:color w:val="auto"/>
                <w:sz w:val="24"/>
                <w:szCs w:val="24"/>
              </w:rPr>
            </w:pPr>
            <w:r>
              <w:rPr>
                <w:rFonts w:hint="eastAsia" w:ascii="宋体" w:hAnsi="宋体" w:cs="宋体"/>
                <w:color w:val="auto"/>
                <w:sz w:val="24"/>
                <w:szCs w:val="24"/>
              </w:rPr>
              <w:t>其他费用（投标人可以自行添加）</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83" w:type="dxa"/>
            <w:vMerge w:val="restart"/>
            <w:vAlign w:val="center"/>
          </w:tcPr>
          <w:p>
            <w:pPr>
              <w:pStyle w:val="736"/>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6</w:t>
            </w:r>
          </w:p>
        </w:tc>
        <w:tc>
          <w:tcPr>
            <w:tcW w:w="1966" w:type="dxa"/>
            <w:vMerge w:val="restart"/>
            <w:vAlign w:val="center"/>
          </w:tcPr>
          <w:p>
            <w:pPr>
              <w:pStyle w:val="736"/>
              <w:spacing w:line="360" w:lineRule="exact"/>
              <w:jc w:val="center"/>
              <w:rPr>
                <w:rFonts w:hint="eastAsia" w:ascii="宋体" w:hAnsi="宋体" w:cs="宋体"/>
                <w:i/>
                <w:iCs/>
                <w:color w:val="auto"/>
                <w:sz w:val="24"/>
                <w:szCs w:val="24"/>
              </w:rPr>
            </w:pPr>
            <w:r>
              <w:rPr>
                <w:rFonts w:hint="eastAsia" w:ascii="宋体" w:hAnsi="宋体" w:cs="宋体"/>
                <w:i/>
                <w:iCs/>
                <w:color w:val="auto"/>
                <w:sz w:val="24"/>
                <w:szCs w:val="24"/>
              </w:rPr>
              <w:t>税金</w:t>
            </w:r>
          </w:p>
        </w:tc>
        <w:tc>
          <w:tcPr>
            <w:tcW w:w="7151" w:type="dxa"/>
            <w:gridSpan w:val="5"/>
            <w:vAlign w:val="center"/>
          </w:tcPr>
          <w:p>
            <w:pPr>
              <w:pStyle w:val="736"/>
              <w:spacing w:line="360" w:lineRule="exact"/>
              <w:jc w:val="center"/>
              <w:rPr>
                <w:rFonts w:hint="eastAsia" w:ascii="宋体" w:hAnsi="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7" w:hRule="atLeast"/>
          <w:jc w:val="center"/>
        </w:trPr>
        <w:tc>
          <w:tcPr>
            <w:tcW w:w="883" w:type="dxa"/>
            <w:vMerge w:val="continue"/>
            <w:vAlign w:val="center"/>
          </w:tcPr>
          <w:p>
            <w:pPr>
              <w:pStyle w:val="736"/>
              <w:spacing w:line="360" w:lineRule="exact"/>
              <w:jc w:val="center"/>
              <w:rPr>
                <w:color w:val="auto"/>
              </w:rPr>
            </w:pPr>
          </w:p>
        </w:tc>
        <w:tc>
          <w:tcPr>
            <w:tcW w:w="1966" w:type="dxa"/>
            <w:vMerge w:val="continue"/>
            <w:vAlign w:val="center"/>
          </w:tcPr>
          <w:p>
            <w:pPr>
              <w:pStyle w:val="736"/>
              <w:spacing w:line="360" w:lineRule="exact"/>
              <w:jc w:val="center"/>
              <w:rPr>
                <w:color w:val="auto"/>
              </w:rPr>
            </w:pPr>
          </w:p>
        </w:tc>
        <w:tc>
          <w:tcPr>
            <w:tcW w:w="7151" w:type="dxa"/>
            <w:gridSpan w:val="5"/>
            <w:vAlign w:val="center"/>
          </w:tcPr>
          <w:p>
            <w:pPr>
              <w:pStyle w:val="736"/>
              <w:spacing w:line="360" w:lineRule="exact"/>
              <w:jc w:val="center"/>
              <w:rPr>
                <w:rFonts w:hint="eastAsia" w:ascii="仿宋_GB2312" w:hAnsi="仿宋_GB2312"/>
                <w:color w:val="auto"/>
                <w:sz w:val="22"/>
                <w:szCs w:val="22"/>
              </w:rPr>
            </w:pPr>
            <w:r>
              <w:rPr>
                <w:rStyle w:val="291"/>
                <w:rFonts w:hint="eastAsia" w:ascii="仿宋_GB2312" w:hAnsi="仿宋_GB2312"/>
                <w:color w:val="auto"/>
                <w:sz w:val="22"/>
                <w:szCs w:val="22"/>
              </w:rPr>
              <w:t>增值税纳税人身份：</w:t>
            </w:r>
            <w:r>
              <w:rPr>
                <w:rStyle w:val="291"/>
                <w:rFonts w:hint="eastAsia" w:ascii="仿宋_GB2312" w:hAnsi="仿宋_GB2312"/>
                <w:color w:val="auto"/>
                <w:sz w:val="22"/>
                <w:szCs w:val="22"/>
                <w:u w:val="single"/>
              </w:rPr>
              <w:t xml:space="preserve"> </w:t>
            </w:r>
            <w:r>
              <w:rPr>
                <w:rStyle w:val="291"/>
                <w:rFonts w:ascii="仿宋_GB2312" w:hAnsi="仿宋_GB2312"/>
                <w:color w:val="auto"/>
                <w:sz w:val="22"/>
                <w:szCs w:val="22"/>
                <w:u w:val="single"/>
              </w:rPr>
              <w:t xml:space="preserve">      </w:t>
            </w:r>
            <w:r>
              <w:rPr>
                <w:rStyle w:val="291"/>
                <w:rFonts w:ascii="仿宋_GB2312" w:hAnsi="仿宋_GB2312"/>
                <w:color w:val="auto"/>
                <w:sz w:val="22"/>
                <w:szCs w:val="22"/>
              </w:rPr>
              <w:t>；税率：</w:t>
            </w:r>
            <w:r>
              <w:rPr>
                <w:rStyle w:val="291"/>
                <w:rFonts w:hint="eastAsia" w:ascii="仿宋_GB2312" w:hAnsi="仿宋_GB2312"/>
                <w:color w:val="auto"/>
                <w:sz w:val="22"/>
                <w:szCs w:val="22"/>
                <w:u w:val="single"/>
              </w:rPr>
              <w:t xml:space="preserve"> </w:t>
            </w:r>
            <w:r>
              <w:rPr>
                <w:rStyle w:val="291"/>
                <w:rFonts w:ascii="仿宋_GB2312" w:hAnsi="仿宋_GB2312"/>
                <w:color w:val="auto"/>
                <w:sz w:val="22"/>
                <w:szCs w:val="22"/>
                <w:u w:val="single"/>
              </w:rPr>
              <w:t xml:space="preserve">       </w:t>
            </w:r>
            <w:r>
              <w:rPr>
                <w:rStyle w:val="291"/>
                <w:rFonts w:ascii="仿宋_GB2312" w:hAnsi="仿宋_GB2312"/>
                <w:color w:val="auto"/>
                <w:sz w:val="22"/>
                <w:szCs w:val="22"/>
              </w:rPr>
              <w:t>（</w:t>
            </w:r>
            <w:r>
              <w:rPr>
                <w:rStyle w:val="291"/>
                <w:rFonts w:hint="eastAsia" w:ascii="仿宋_GB2312" w:hAnsi="仿宋_GB2312"/>
                <w:color w:val="auto"/>
                <w:sz w:val="22"/>
                <w:szCs w:val="22"/>
              </w:rPr>
              <w:t>明确是增值税一般纳税人还是小规模纳税人</w:t>
            </w:r>
            <w:r>
              <w:rPr>
                <w:rStyle w:val="291"/>
                <w:rFonts w:hint="eastAsia" w:ascii="仿宋_GB2312" w:hAnsi="仿宋_GB2312"/>
                <w:b/>
                <w:bCs/>
                <w:color w:val="auto"/>
                <w:sz w:val="22"/>
                <w:szCs w:val="22"/>
              </w:rPr>
              <w:t>并提供相关证明</w:t>
            </w:r>
            <w:r>
              <w:rPr>
                <w:rStyle w:val="291"/>
                <w:rFonts w:ascii="仿宋_GB2312" w:hAnsi="仿宋_GB2312"/>
                <w:color w:val="auto"/>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883" w:type="dxa"/>
            <w:vAlign w:val="center"/>
          </w:tcPr>
          <w:p>
            <w:pPr>
              <w:pStyle w:val="736"/>
              <w:spacing w:line="360" w:lineRule="exact"/>
              <w:jc w:val="center"/>
              <w:rPr>
                <w:rFonts w:hint="eastAsia" w:ascii="方正仿宋_GBK" w:hAnsi="方正仿宋_GBK" w:eastAsia="方正仿宋_GBK" w:cs="方正仿宋_GBK"/>
                <w:i/>
                <w:iCs/>
                <w:color w:val="auto"/>
                <w:sz w:val="24"/>
                <w:szCs w:val="24"/>
              </w:rPr>
            </w:pPr>
          </w:p>
        </w:tc>
        <w:tc>
          <w:tcPr>
            <w:tcW w:w="1966" w:type="dxa"/>
            <w:vAlign w:val="center"/>
          </w:tcPr>
          <w:p>
            <w:pPr>
              <w:pStyle w:val="736"/>
              <w:spacing w:line="360" w:lineRule="exact"/>
              <w:jc w:val="center"/>
              <w:rPr>
                <w:rFonts w:hint="eastAsia" w:ascii="方正仿宋_GBK" w:hAnsi="方正仿宋_GBK" w:eastAsia="方正仿宋_GBK" w:cs="方正仿宋_GBK"/>
                <w:i/>
                <w:iCs/>
                <w:color w:val="auto"/>
                <w:sz w:val="24"/>
                <w:szCs w:val="24"/>
              </w:rPr>
            </w:pPr>
            <w:r>
              <w:rPr>
                <w:rFonts w:hint="eastAsia" w:ascii="方正仿宋_GBK" w:hAnsi="方正仿宋_GBK" w:eastAsia="方正仿宋_GBK" w:cs="方正仿宋_GBK"/>
                <w:i/>
                <w:iCs/>
                <w:color w:val="auto"/>
                <w:sz w:val="24"/>
                <w:szCs w:val="24"/>
              </w:rPr>
              <w:t>…</w:t>
            </w:r>
          </w:p>
        </w:tc>
        <w:tc>
          <w:tcPr>
            <w:tcW w:w="7151" w:type="dxa"/>
            <w:gridSpan w:val="5"/>
            <w:vAlign w:val="center"/>
          </w:tcPr>
          <w:p>
            <w:pPr>
              <w:pStyle w:val="736"/>
              <w:spacing w:line="360" w:lineRule="exact"/>
              <w:jc w:val="center"/>
              <w:rPr>
                <w:rFonts w:hint="eastAsia" w:ascii="方正仿宋_GBK" w:hAnsi="方正仿宋_GBK" w:eastAsia="方正仿宋_GBK" w:cs="方正仿宋_GBK"/>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21" w:hRule="atLeast"/>
          <w:jc w:val="center"/>
        </w:trPr>
        <w:tc>
          <w:tcPr>
            <w:tcW w:w="2849" w:type="dxa"/>
            <w:gridSpan w:val="2"/>
            <w:vAlign w:val="center"/>
          </w:tcPr>
          <w:p>
            <w:pPr>
              <w:pStyle w:val="736"/>
              <w:spacing w:line="360" w:lineRule="exact"/>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iCs/>
                <w:color w:val="auto"/>
                <w:sz w:val="24"/>
                <w:szCs w:val="28"/>
                <w:lang w:val="zh-CN"/>
              </w:rPr>
              <w:t>投标总报价</w:t>
            </w:r>
          </w:p>
        </w:tc>
        <w:tc>
          <w:tcPr>
            <w:tcW w:w="7151" w:type="dxa"/>
            <w:gridSpan w:val="5"/>
            <w:vAlign w:val="center"/>
          </w:tcPr>
          <w:p>
            <w:pPr>
              <w:pStyle w:val="736"/>
              <w:spacing w:line="360" w:lineRule="exact"/>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w:t>
            </w:r>
            <w:r>
              <w:rPr>
                <w:rFonts w:hint="eastAsia" w:ascii="方正仿宋_GBK" w:hAnsi="方正仿宋_GBK" w:eastAsia="方正仿宋_GBK" w:cs="方正仿宋_GBK"/>
                <w:color w:val="auto"/>
                <w:sz w:val="24"/>
                <w:szCs w:val="24"/>
                <w:u w:val="single"/>
              </w:rPr>
              <w:t xml:space="preserve">                        </w:t>
            </w:r>
          </w:p>
          <w:p>
            <w:pPr>
              <w:pStyle w:val="736"/>
              <w:spacing w:line="360" w:lineRule="exact"/>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人民币（大写）：</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拾</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万</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仟</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佰</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拾</w:t>
            </w:r>
          </w:p>
          <w:p>
            <w:pPr>
              <w:pStyle w:val="736"/>
              <w:spacing w:line="360" w:lineRule="exact"/>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圆</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角</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b/>
                <w:bCs/>
                <w:color w:val="auto"/>
                <w:sz w:val="24"/>
                <w:szCs w:val="24"/>
              </w:rPr>
              <w:t>分</w:t>
            </w:r>
          </w:p>
        </w:tc>
      </w:tr>
    </w:tbl>
    <w:p>
      <w:pPr>
        <w:pStyle w:val="737"/>
        <w:spacing w:line="360" w:lineRule="auto"/>
        <w:ind w:firstLine="480"/>
        <w:rPr>
          <w:rFonts w:ascii="方正仿宋_GBK" w:hAnsi="方正仿宋_GBK" w:eastAsia="方正仿宋_GBK" w:cs="方正仿宋_GBK"/>
          <w:i/>
          <w:iCs/>
          <w:color w:val="auto"/>
          <w:szCs w:val="21"/>
          <w:highlight w:val="none"/>
        </w:rPr>
      </w:pPr>
    </w:p>
    <w:p>
      <w:pPr>
        <w:pStyle w:val="737"/>
        <w:spacing w:line="360" w:lineRule="auto"/>
        <w:rPr>
          <w:rFonts w:hint="eastAsia" w:ascii="方正仿宋_GBK" w:hAnsi="方正仿宋_GBK" w:eastAsia="方正仿宋_GBK" w:cs="方正仿宋_GBK"/>
          <w:iCs/>
          <w:color w:val="auto"/>
          <w:szCs w:val="28"/>
          <w:highlight w:val="none"/>
          <w:lang w:val="zh-CN"/>
        </w:rPr>
      </w:pPr>
    </w:p>
    <w:p>
      <w:pPr>
        <w:pStyle w:val="737"/>
        <w:spacing w:line="360" w:lineRule="auto"/>
        <w:rPr>
          <w:rFonts w:ascii="方正仿宋_GBK" w:hAnsi="方正仿宋_GBK" w:eastAsia="方正仿宋_GBK" w:cs="方正仿宋_GBK"/>
          <w:iCs/>
          <w:color w:val="auto"/>
          <w:szCs w:val="28"/>
          <w:highlight w:val="none"/>
          <w:lang w:val="zh-CN"/>
        </w:rPr>
      </w:pPr>
      <w:r>
        <w:rPr>
          <w:rFonts w:hint="eastAsia" w:ascii="方正仿宋_GBK" w:hAnsi="方正仿宋_GBK" w:eastAsia="方正仿宋_GBK" w:cs="方正仿宋_GBK"/>
          <w:iCs/>
          <w:color w:val="auto"/>
          <w:szCs w:val="28"/>
          <w:highlight w:val="none"/>
          <w:lang w:val="zh-CN"/>
        </w:rPr>
        <w:t>备注：</w:t>
      </w:r>
    </w:p>
    <w:p>
      <w:pPr>
        <w:pStyle w:val="738"/>
        <w:spacing w:line="360" w:lineRule="auto"/>
        <w:rPr>
          <w:rFonts w:ascii="方正仿宋_GBK" w:hAnsi="方正仿宋_GBK" w:eastAsia="方正仿宋_GBK" w:cs="方正仿宋_GBK"/>
          <w:iCs/>
          <w:color w:val="auto"/>
          <w:sz w:val="24"/>
          <w:szCs w:val="28"/>
          <w:highlight w:val="none"/>
          <w:lang w:val="zh-CN"/>
        </w:rPr>
      </w:pPr>
      <w:r>
        <w:rPr>
          <w:rFonts w:hint="eastAsia" w:ascii="方正仿宋_GBK" w:hAnsi="方正仿宋_GBK" w:eastAsia="方正仿宋_GBK" w:cs="方正仿宋_GBK"/>
          <w:iCs/>
          <w:color w:val="auto"/>
          <w:sz w:val="24"/>
          <w:szCs w:val="28"/>
          <w:highlight w:val="none"/>
        </w:rPr>
        <w:t>1</w:t>
      </w:r>
      <w:r>
        <w:rPr>
          <w:rFonts w:hint="eastAsia" w:ascii="方正仿宋_GBK" w:hAnsi="方正仿宋_GBK" w:eastAsia="方正仿宋_GBK" w:cs="方正仿宋_GBK"/>
          <w:iCs/>
          <w:color w:val="auto"/>
          <w:sz w:val="24"/>
          <w:szCs w:val="28"/>
          <w:highlight w:val="none"/>
          <w:lang w:val="zh-CN"/>
        </w:rPr>
        <w:t>、分项报价表中列明的项目不接受赠送。</w:t>
      </w:r>
    </w:p>
    <w:p>
      <w:pPr>
        <w:pStyle w:val="738"/>
        <w:spacing w:line="360" w:lineRule="auto"/>
        <w:rPr>
          <w:rFonts w:ascii="方正仿宋_GBK" w:hAnsi="方正仿宋_GBK" w:eastAsia="方正仿宋_GBK" w:cs="方正仿宋_GBK"/>
          <w:iCs/>
          <w:color w:val="auto"/>
          <w:sz w:val="24"/>
          <w:szCs w:val="28"/>
          <w:highlight w:val="none"/>
          <w:lang w:val="zh-CN"/>
        </w:rPr>
      </w:pPr>
      <w:r>
        <w:rPr>
          <w:rFonts w:hint="eastAsia" w:ascii="方正仿宋_GBK" w:hAnsi="方正仿宋_GBK" w:eastAsia="方正仿宋_GBK" w:cs="方正仿宋_GBK"/>
          <w:iCs/>
          <w:color w:val="auto"/>
          <w:sz w:val="24"/>
          <w:szCs w:val="28"/>
          <w:highlight w:val="none"/>
        </w:rPr>
        <w:t>2</w:t>
      </w:r>
      <w:r>
        <w:rPr>
          <w:rFonts w:hint="eastAsia" w:ascii="方正仿宋_GBK" w:hAnsi="方正仿宋_GBK" w:eastAsia="方正仿宋_GBK" w:cs="方正仿宋_GBK"/>
          <w:iCs/>
          <w:color w:val="auto"/>
          <w:sz w:val="24"/>
          <w:szCs w:val="28"/>
          <w:highlight w:val="none"/>
          <w:lang w:val="zh-CN"/>
        </w:rPr>
        <w:t>、人员工资合价=人员月工资*人员数量*月数</w:t>
      </w:r>
    </w:p>
    <w:p>
      <w:pPr>
        <w:pStyle w:val="738"/>
        <w:spacing w:line="360" w:lineRule="auto"/>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rPr>
        <w:t>3、“投标报价总计”数额应当与“磋商报价表”中“磋商总价”数额一致。</w:t>
      </w:r>
    </w:p>
    <w:p>
      <w:pPr>
        <w:spacing w:line="0" w:lineRule="atLeast"/>
        <w:rPr>
          <w:rFonts w:hint="eastAsia" w:ascii="方正仿宋_GBK" w:hAnsi="方正仿宋_GBK" w:eastAsia="方正仿宋_GBK" w:cs="方正仿宋_GBK"/>
          <w:iCs/>
          <w:color w:val="auto"/>
          <w:sz w:val="24"/>
          <w:szCs w:val="28"/>
          <w:highlight w:val="none"/>
          <w:lang w:eastAsia="zh-CN"/>
        </w:rPr>
      </w:pPr>
      <w:r>
        <w:rPr>
          <w:rFonts w:hint="eastAsia" w:ascii="方正仿宋_GBK" w:hAnsi="方正仿宋_GBK" w:eastAsia="方正仿宋_GBK" w:cs="方正仿宋_GBK"/>
          <w:iCs/>
          <w:color w:val="auto"/>
          <w:sz w:val="24"/>
          <w:szCs w:val="28"/>
          <w:highlight w:val="none"/>
        </w:rPr>
        <w:t>4、注:社保金额≥1238.048(4952*24.9%+5)，因报价最多保留至小数点后两位，故该项最小有效数值为1238.05元。</w:t>
      </w:r>
    </w:p>
    <w:p>
      <w:pPr>
        <w:spacing w:line="0" w:lineRule="atLeast"/>
        <w:rPr>
          <w:rFonts w:hint="eastAsia" w:ascii="方正仿宋_GBK" w:hAnsi="方正仿宋_GBK" w:eastAsia="方正仿宋_GBK" w:cs="方正仿宋_GBK"/>
          <w:iCs/>
          <w:color w:val="auto"/>
          <w:sz w:val="24"/>
          <w:szCs w:val="28"/>
          <w:highlight w:val="none"/>
        </w:rPr>
      </w:pPr>
    </w:p>
    <w:bookmarkEnd w:id="117"/>
    <w:p>
      <w:pPr>
        <w:rPr>
          <w:rFonts w:ascii="宋体" w:hAnsi="宋体"/>
          <w:color w:val="auto"/>
          <w:sz w:val="24"/>
          <w:szCs w:val="24"/>
          <w:highlight w:val="none"/>
        </w:rPr>
      </w:pPr>
      <w:r>
        <w:rPr>
          <w:rFonts w:ascii="宋体" w:hAnsi="宋体"/>
          <w:color w:val="auto"/>
          <w:sz w:val="24"/>
          <w:szCs w:val="24"/>
          <w:highlight w:val="none"/>
        </w:rPr>
        <w:br w:type="page"/>
      </w:r>
    </w:p>
    <w:p>
      <w:pPr>
        <w:pStyle w:val="87"/>
        <w:spacing w:before="0" w:after="0" w:line="520" w:lineRule="exact"/>
        <w:rPr>
          <w:rFonts w:ascii="宋体" w:hAnsi="宋体" w:eastAsia="宋体" w:cs="宋体"/>
          <w:color w:val="auto"/>
          <w:sz w:val="32"/>
          <w:szCs w:val="32"/>
          <w:highlight w:val="none"/>
        </w:rPr>
      </w:pPr>
      <w:bookmarkStart w:id="118" w:name="_Toc21129"/>
      <w:bookmarkStart w:id="119" w:name="_Toc9025"/>
      <w:bookmarkStart w:id="120" w:name="OLE_LINK28"/>
      <w:r>
        <w:rPr>
          <w:rFonts w:hint="eastAsia" w:ascii="宋体" w:hAnsi="宋体" w:eastAsia="宋体" w:cs="宋体"/>
          <w:color w:val="auto"/>
          <w:sz w:val="32"/>
          <w:szCs w:val="32"/>
          <w:highlight w:val="none"/>
        </w:rPr>
        <w:t>五、中小企业或残疾人福利性单位声明函</w:t>
      </w:r>
      <w:bookmarkEnd w:id="118"/>
      <w:bookmarkEnd w:id="119"/>
    </w:p>
    <w:p>
      <w:pPr>
        <w:spacing w:line="400" w:lineRule="exact"/>
        <w:ind w:firstLine="643"/>
        <w:jc w:val="center"/>
        <w:rPr>
          <w:rFonts w:ascii="宋体" w:hAnsi="宋体"/>
          <w:color w:val="auto"/>
          <w:sz w:val="32"/>
          <w:szCs w:val="32"/>
          <w:highlight w:val="none"/>
        </w:rPr>
      </w:pPr>
    </w:p>
    <w:p>
      <w:pPr>
        <w:pStyle w:val="645"/>
        <w:spacing w:before="151" w:after="151" w:line="600" w:lineRule="exact"/>
        <w:jc w:val="center"/>
        <w:rPr>
          <w:rFonts w:ascii="方正小标宋_GBK" w:eastAsia="方正小标宋_GBK"/>
          <w:color w:val="auto"/>
          <w:sz w:val="32"/>
          <w:szCs w:val="32"/>
          <w:highlight w:val="none"/>
        </w:rPr>
      </w:pPr>
      <w:bookmarkStart w:id="121" w:name="OLE_LINK38"/>
      <w:r>
        <w:rPr>
          <w:rFonts w:hint="eastAsia" w:ascii="方正小标宋_GBK" w:eastAsia="方正小标宋_GBK"/>
          <w:color w:val="auto"/>
          <w:sz w:val="32"/>
          <w:szCs w:val="32"/>
          <w:highlight w:val="none"/>
        </w:rPr>
        <w:t>中小微企业声明函（服务）</w:t>
      </w:r>
    </w:p>
    <w:p>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w:t>
      </w:r>
      <w:r>
        <w:rPr>
          <w:rFonts w:hint="eastAsia" w:ascii="Times New Roman" w:hAnsi="Times New Roman"/>
          <w:color w:val="auto"/>
          <w:sz w:val="24"/>
          <w:szCs w:val="24"/>
          <w:highlight w:val="none"/>
        </w:rPr>
        <w:t>〔2020〕</w:t>
      </w:r>
      <w:r>
        <w:rPr>
          <w:rFonts w:hint="eastAsia" w:ascii="宋体" w:hAnsi="宋体"/>
          <w:color w:val="auto"/>
          <w:sz w:val="24"/>
          <w:szCs w:val="24"/>
          <w:highlight w:val="none"/>
        </w:rPr>
        <w:t>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p>
    <w:p>
      <w:pPr>
        <w:spacing w:line="480" w:lineRule="exact"/>
        <w:ind w:firstLine="480"/>
        <w:rPr>
          <w:rFonts w:ascii="Times New Roman" w:hAnsi="Times New Roman"/>
          <w:i/>
          <w:color w:val="auto"/>
          <w:sz w:val="24"/>
          <w:szCs w:val="24"/>
          <w:highlight w:val="none"/>
          <w:u w:val="single"/>
        </w:rPr>
      </w:pPr>
      <w:r>
        <w:rPr>
          <w:rFonts w:ascii="Times New Roman" w:hAnsi="Times New Roman"/>
          <w:color w:val="auto"/>
          <w:sz w:val="24"/>
          <w:szCs w:val="24"/>
          <w:highlight w:val="none"/>
        </w:rPr>
        <w:t>1.</w:t>
      </w:r>
      <w:r>
        <w:rPr>
          <w:rFonts w:ascii="Times New Roman" w:hAnsi="Times New Roman"/>
          <w:color w:val="auto"/>
          <w:sz w:val="24"/>
          <w:szCs w:val="24"/>
          <w:highlight w:val="none"/>
          <w:u w:val="single"/>
        </w:rPr>
        <w:t>（标的名称）</w:t>
      </w:r>
      <w:r>
        <w:rPr>
          <w:rFonts w:ascii="Times New Roman" w:hAnsi="Times New Roman"/>
          <w:i/>
          <w:color w:val="auto"/>
          <w:sz w:val="24"/>
          <w:szCs w:val="24"/>
          <w:highlight w:val="none"/>
        </w:rPr>
        <w:t>，</w:t>
      </w:r>
      <w:r>
        <w:rPr>
          <w:rFonts w:ascii="Times New Roman" w:hAnsi="Times New Roman"/>
          <w:color w:val="auto"/>
          <w:sz w:val="24"/>
          <w:szCs w:val="24"/>
          <w:highlight w:val="none"/>
        </w:rPr>
        <w:t>属于</w:t>
      </w:r>
      <w:r>
        <w:rPr>
          <w:rFonts w:ascii="Times New Roman" w:hAnsi="Times New Roman"/>
          <w:color w:val="auto"/>
          <w:sz w:val="24"/>
          <w:szCs w:val="24"/>
          <w:highlight w:val="none"/>
          <w:u w:val="single"/>
        </w:rPr>
        <w:t>（供应商填写磋商文件中明确的所属行业）</w:t>
      </w:r>
      <w:r>
        <w:rPr>
          <w:rFonts w:ascii="Times New Roman" w:hAnsi="Times New Roman"/>
          <w:color w:val="auto"/>
          <w:sz w:val="24"/>
          <w:szCs w:val="24"/>
          <w:highlight w:val="none"/>
        </w:rPr>
        <w:t>行业；承接企业为</w:t>
      </w:r>
      <w:r>
        <w:rPr>
          <w:rFonts w:ascii="Times New Roman" w:hAnsi="Times New Roman"/>
          <w:color w:val="auto"/>
          <w:sz w:val="24"/>
          <w:szCs w:val="24"/>
          <w:highlight w:val="none"/>
          <w:u w:val="single"/>
        </w:rPr>
        <w:t>（企业名称）</w:t>
      </w:r>
      <w:r>
        <w:rPr>
          <w:rFonts w:ascii="Times New Roman" w:hAnsi="Times New Roman"/>
          <w:color w:val="auto"/>
          <w:sz w:val="24"/>
          <w:szCs w:val="24"/>
          <w:highlight w:val="none"/>
        </w:rPr>
        <w:t>，从业人员人，营业收入为万元，资产总额为万元，属于</w:t>
      </w:r>
      <w:r>
        <w:rPr>
          <w:rFonts w:ascii="Times New Roman" w:hAnsi="Times New Roman"/>
          <w:color w:val="auto"/>
          <w:sz w:val="24"/>
          <w:szCs w:val="24"/>
          <w:highlight w:val="none"/>
          <w:u w:val="single"/>
        </w:rPr>
        <w:t>（□中型企业 □小型企业 □微型企业）；</w:t>
      </w:r>
    </w:p>
    <w:p>
      <w:pPr>
        <w:spacing w:line="480" w:lineRule="exact"/>
        <w:ind w:firstLine="480"/>
        <w:rPr>
          <w:rFonts w:ascii="Times New Roman" w:hAnsi="Times New Roman"/>
          <w:i/>
          <w:color w:val="auto"/>
          <w:sz w:val="24"/>
          <w:szCs w:val="24"/>
          <w:highlight w:val="none"/>
          <w:u w:val="single"/>
        </w:rPr>
      </w:pPr>
      <w:r>
        <w:rPr>
          <w:rFonts w:ascii="Times New Roman" w:hAnsi="Times New Roman"/>
          <w:color w:val="auto"/>
          <w:sz w:val="24"/>
          <w:szCs w:val="24"/>
          <w:highlight w:val="none"/>
        </w:rPr>
        <w:t>2.</w:t>
      </w:r>
      <w:r>
        <w:rPr>
          <w:rFonts w:ascii="Times New Roman" w:hAnsi="Times New Roman"/>
          <w:color w:val="auto"/>
          <w:sz w:val="24"/>
          <w:szCs w:val="24"/>
          <w:highlight w:val="none"/>
          <w:u w:val="single"/>
        </w:rPr>
        <w:t>（标的名称）</w:t>
      </w:r>
      <w:r>
        <w:rPr>
          <w:rFonts w:ascii="Times New Roman" w:hAnsi="Times New Roman"/>
          <w:i/>
          <w:color w:val="auto"/>
          <w:sz w:val="24"/>
          <w:szCs w:val="24"/>
          <w:highlight w:val="none"/>
        </w:rPr>
        <w:t>，</w:t>
      </w:r>
      <w:r>
        <w:rPr>
          <w:rFonts w:ascii="Times New Roman" w:hAnsi="Times New Roman"/>
          <w:color w:val="auto"/>
          <w:sz w:val="24"/>
          <w:szCs w:val="24"/>
          <w:highlight w:val="none"/>
        </w:rPr>
        <w:t>属于</w:t>
      </w:r>
      <w:r>
        <w:rPr>
          <w:rFonts w:ascii="Times New Roman" w:hAnsi="Times New Roman"/>
          <w:color w:val="auto"/>
          <w:sz w:val="24"/>
          <w:szCs w:val="24"/>
          <w:highlight w:val="none"/>
          <w:u w:val="single"/>
        </w:rPr>
        <w:t>（供应商填写磋商文件中明确的所属行业）</w:t>
      </w:r>
      <w:r>
        <w:rPr>
          <w:rFonts w:ascii="Times New Roman" w:hAnsi="Times New Roman"/>
          <w:color w:val="auto"/>
          <w:sz w:val="24"/>
          <w:szCs w:val="24"/>
          <w:highlight w:val="none"/>
        </w:rPr>
        <w:t>行业；承接企业为</w:t>
      </w:r>
      <w:r>
        <w:rPr>
          <w:rFonts w:ascii="Times New Roman" w:hAnsi="Times New Roman"/>
          <w:color w:val="auto"/>
          <w:sz w:val="24"/>
          <w:szCs w:val="24"/>
          <w:highlight w:val="none"/>
          <w:u w:val="single"/>
        </w:rPr>
        <w:t>（企业名称）</w:t>
      </w:r>
      <w:r>
        <w:rPr>
          <w:rFonts w:ascii="Times New Roman" w:hAnsi="Times New Roman"/>
          <w:color w:val="auto"/>
          <w:sz w:val="24"/>
          <w:szCs w:val="24"/>
          <w:highlight w:val="none"/>
        </w:rPr>
        <w:t>，从业人员人，营业收入为万元，资产总额为万元，属于</w:t>
      </w:r>
      <w:r>
        <w:rPr>
          <w:rFonts w:ascii="Times New Roman" w:hAnsi="Times New Roman"/>
          <w:color w:val="auto"/>
          <w:sz w:val="24"/>
          <w:szCs w:val="24"/>
          <w:highlight w:val="none"/>
          <w:u w:val="single"/>
        </w:rPr>
        <w:t>（□中型企业 □小型企业 □微型企业）；</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以上企业，不属于大企业的分支机构，不存在控股股东为大企业的情形，也不存在与大企业的负责人为同一人的情形。</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本企业对上述声明内容的真实性负责。如有虚假，将依法承担相应责任</w:t>
      </w:r>
    </w:p>
    <w:p>
      <w:pPr>
        <w:spacing w:line="480" w:lineRule="exact"/>
        <w:ind w:firstLine="480"/>
        <w:rPr>
          <w:rFonts w:ascii="Times New Roman" w:hAnsi="Times New Roman"/>
          <w:color w:val="auto"/>
          <w:sz w:val="24"/>
          <w:szCs w:val="24"/>
          <w:highlight w:val="none"/>
        </w:rPr>
      </w:pPr>
    </w:p>
    <w:p>
      <w:pPr>
        <w:spacing w:line="480" w:lineRule="exact"/>
        <w:ind w:firstLine="480"/>
        <w:jc w:val="right"/>
        <w:rPr>
          <w:rFonts w:ascii="Times New Roman" w:hAnsi="Times New Roman"/>
          <w:color w:val="auto"/>
          <w:sz w:val="24"/>
          <w:szCs w:val="24"/>
          <w:highlight w:val="none"/>
        </w:rPr>
      </w:pPr>
      <w:r>
        <w:rPr>
          <w:rFonts w:ascii="Times New Roman" w:hAnsi="Times New Roman"/>
          <w:color w:val="auto"/>
          <w:sz w:val="24"/>
          <w:szCs w:val="24"/>
          <w:highlight w:val="none"/>
        </w:rPr>
        <w:t>企业名称（加盖CA电子公章）：</w:t>
      </w:r>
    </w:p>
    <w:p>
      <w:pPr>
        <w:spacing w:line="480" w:lineRule="exact"/>
        <w:ind w:firstLine="6960"/>
        <w:rPr>
          <w:rFonts w:ascii="Times New Roman" w:hAnsi="Times New Roman"/>
          <w:color w:val="auto"/>
          <w:sz w:val="24"/>
          <w:szCs w:val="24"/>
          <w:highlight w:val="none"/>
        </w:rPr>
      </w:pPr>
      <w:r>
        <w:rPr>
          <w:rFonts w:ascii="Times New Roman" w:hAnsi="Times New Roman"/>
          <w:color w:val="auto"/>
          <w:sz w:val="24"/>
          <w:szCs w:val="24"/>
          <w:highlight w:val="none"/>
        </w:rPr>
        <w:t>日  期：</w:t>
      </w:r>
    </w:p>
    <w:p>
      <w:pPr>
        <w:spacing w:line="480" w:lineRule="exact"/>
        <w:ind w:firstLine="240"/>
        <w:rPr>
          <w:rFonts w:ascii="Times New Roman" w:hAnsi="Times New Roman"/>
          <w:color w:val="auto"/>
          <w:sz w:val="24"/>
          <w:szCs w:val="24"/>
          <w:highlight w:val="none"/>
        </w:rPr>
      </w:pP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备注：1.从业人员、营业收入、资产总额填报上一年度数据，无上一年度数据的新成立企业可不填报。</w:t>
      </w:r>
    </w:p>
    <w:p>
      <w:pPr>
        <w:rPr>
          <w:rFonts w:ascii="Times New Roman" w:hAnsi="Times New Roman"/>
          <w:color w:val="auto"/>
          <w:sz w:val="24"/>
          <w:szCs w:val="21"/>
          <w:highlight w:val="none"/>
        </w:rPr>
      </w:pPr>
    </w:p>
    <w:bookmarkEnd w:id="121"/>
    <w:p>
      <w:pPr>
        <w:rPr>
          <w:rFonts w:ascii="Times New Roman" w:hAnsi="Times New Roman"/>
          <w:color w:val="auto"/>
          <w:sz w:val="24"/>
          <w:szCs w:val="21"/>
          <w:highlight w:val="none"/>
        </w:rPr>
      </w:pPr>
    </w:p>
    <w:p>
      <w:pPr>
        <w:rPr>
          <w:rFonts w:ascii="Times New Roman" w:hAnsi="Times New Roman"/>
          <w:color w:val="auto"/>
          <w:sz w:val="24"/>
          <w:szCs w:val="21"/>
          <w:highlight w:val="none"/>
        </w:rPr>
      </w:pPr>
    </w:p>
    <w:p>
      <w:pPr>
        <w:rPr>
          <w:rFonts w:ascii="Times New Roman" w:hAnsi="Times New Roman"/>
          <w:color w:val="auto"/>
          <w:sz w:val="24"/>
          <w:szCs w:val="21"/>
          <w:highlight w:val="none"/>
        </w:rPr>
      </w:pPr>
    </w:p>
    <w:p>
      <w:pPr>
        <w:rPr>
          <w:rFonts w:ascii="Times New Roman" w:hAnsi="Times New Roman"/>
          <w:color w:val="auto"/>
          <w:sz w:val="24"/>
          <w:szCs w:val="21"/>
          <w:highlight w:val="none"/>
        </w:rPr>
      </w:pPr>
    </w:p>
    <w:p>
      <w:pPr>
        <w:rPr>
          <w:rFonts w:ascii="Times New Roman" w:hAnsi="Times New Roman"/>
          <w:color w:val="auto"/>
          <w:sz w:val="24"/>
          <w:szCs w:val="21"/>
          <w:highlight w:val="none"/>
        </w:rPr>
      </w:pPr>
    </w:p>
    <w:p>
      <w:pPr>
        <w:rPr>
          <w:rFonts w:ascii="Times New Roman" w:hAnsi="Times New Roman"/>
          <w:color w:val="auto"/>
          <w:sz w:val="24"/>
          <w:szCs w:val="21"/>
          <w:highlight w:val="none"/>
        </w:rPr>
      </w:pPr>
    </w:p>
    <w:p>
      <w:pPr>
        <w:pStyle w:val="645"/>
        <w:spacing w:before="151" w:after="151" w:line="600" w:lineRule="exact"/>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残疾人福利性单位声明函</w:t>
      </w:r>
    </w:p>
    <w:p>
      <w:pPr>
        <w:pStyle w:val="646"/>
        <w:spacing w:line="588" w:lineRule="exact"/>
        <w:rPr>
          <w:rFonts w:ascii="仿宋_GB2312" w:eastAsia="仿宋_GB2312"/>
          <w:color w:val="auto"/>
          <w:spacing w:val="6"/>
          <w:sz w:val="30"/>
          <w:szCs w:val="30"/>
          <w:highlight w:val="none"/>
        </w:rPr>
      </w:pPr>
    </w:p>
    <w:p>
      <w:pPr>
        <w:pStyle w:val="645"/>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本单位郑重声明，根据《财政部 民政部 中国残疾人联合会关于促进残疾人就业政府采购政策的通知》（财库〔</w:t>
      </w:r>
      <w:r>
        <w:rPr>
          <w:rFonts w:ascii="Times New Roman" w:hAnsi="Times New Roman"/>
          <w:color w:val="auto"/>
          <w:sz w:val="24"/>
          <w:highlight w:val="none"/>
        </w:rPr>
        <w:t>2017</w:t>
      </w:r>
      <w:r>
        <w:rPr>
          <w:rFonts w:hint="eastAsia" w:ascii="Times New Roman" w:hAnsi="Times New Roman"/>
          <w:color w:val="auto"/>
          <w:sz w:val="24"/>
          <w:highlight w:val="none"/>
        </w:rPr>
        <w:t>〕</w:t>
      </w:r>
      <w:r>
        <w:rPr>
          <w:rFonts w:ascii="Times New Roman" w:hAnsi="Times New Roman"/>
          <w:color w:val="auto"/>
          <w:sz w:val="24"/>
          <w:highlight w:val="none"/>
        </w:rPr>
        <w:t>141</w:t>
      </w:r>
      <w:r>
        <w:rPr>
          <w:rFonts w:hint="eastAsia" w:ascii="Times New Roman" w:hAnsi="Times New Roman"/>
          <w:color w:val="auto"/>
          <w:sz w:val="24"/>
          <w:highlight w:val="none"/>
        </w:rPr>
        <w:t>号）的规定，本单位为符合条件的残疾人福利性单位，且本单位参加</w:t>
      </w:r>
      <w:r>
        <w:rPr>
          <w:rFonts w:hint="eastAsia" w:ascii="Times New Roman" w:hAnsi="Times New Roman"/>
          <w:color w:val="auto"/>
          <w:sz w:val="24"/>
          <w:highlight w:val="none"/>
          <w:u w:val="single"/>
        </w:rPr>
        <w:t>（</w:t>
      </w:r>
      <w:r>
        <w:rPr>
          <w:rFonts w:hint="eastAsia" w:ascii="Times New Roman" w:hAnsi="Times New Roman"/>
          <w:color w:val="auto"/>
          <w:sz w:val="24"/>
          <w:szCs w:val="24"/>
          <w:highlight w:val="none"/>
          <w:u w:val="single"/>
        </w:rPr>
        <w:t>单位名称）</w:t>
      </w:r>
      <w:r>
        <w:rPr>
          <w:rFonts w:hint="eastAsia" w:ascii="Times New Roman" w:hAnsi="Times New Roman"/>
          <w:color w:val="auto"/>
          <w:sz w:val="24"/>
          <w:highlight w:val="none"/>
        </w:rPr>
        <w:t>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采购活动提供本单位制造的货物（由本单位承担工程/提供服务），或者提供其他残疾人福利性单位制造的货物（不包括使用非残疾人福利性单位注册商标的货物）。</w:t>
      </w:r>
    </w:p>
    <w:p>
      <w:pPr>
        <w:pStyle w:val="645"/>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本单位对上述声明的真实性负责。如有虚假，将依法承担相应责任。</w:t>
      </w:r>
    </w:p>
    <w:p>
      <w:pPr>
        <w:pStyle w:val="647"/>
        <w:spacing w:line="500" w:lineRule="exact"/>
        <w:jc w:val="left"/>
        <w:rPr>
          <w:color w:val="auto"/>
          <w:sz w:val="24"/>
          <w:highlight w:val="none"/>
        </w:rPr>
      </w:pPr>
    </w:p>
    <w:p>
      <w:pPr>
        <w:pStyle w:val="647"/>
        <w:spacing w:line="500" w:lineRule="exact"/>
        <w:ind w:firstLine="480"/>
        <w:jc w:val="left"/>
        <w:rPr>
          <w:rFonts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szCs w:val="24"/>
          <w:highlight w:val="none"/>
        </w:rPr>
        <w:t>盖CA电子公章</w:t>
      </w:r>
      <w:r>
        <w:rPr>
          <w:rFonts w:hint="eastAsia" w:ascii="宋体" w:hAnsi="宋体"/>
          <w:color w:val="auto"/>
          <w:sz w:val="24"/>
          <w:highlight w:val="none"/>
        </w:rPr>
        <w:t>）</w:t>
      </w:r>
    </w:p>
    <w:p>
      <w:pPr>
        <w:pStyle w:val="643"/>
        <w:spacing w:line="500" w:lineRule="exact"/>
        <w:ind w:firstLine="480"/>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日期：  年  月  日</w:t>
      </w:r>
    </w:p>
    <w:bookmarkEnd w:id="120"/>
    <w:p>
      <w:pPr>
        <w:pStyle w:val="648"/>
        <w:spacing w:line="500" w:lineRule="exact"/>
        <w:ind w:left="357" w:firstLine="0"/>
        <w:rPr>
          <w:rFonts w:ascii="Times New Roman" w:hAnsi="Times New Roman" w:cs="Arial"/>
          <w:color w:val="auto"/>
          <w:sz w:val="24"/>
          <w:szCs w:val="24"/>
          <w:highlight w:val="none"/>
        </w:rPr>
      </w:pPr>
    </w:p>
    <w:p>
      <w:pPr>
        <w:pStyle w:val="645"/>
        <w:spacing w:before="151" w:after="151" w:line="240" w:lineRule="atLeast"/>
        <w:ind w:firstLine="445"/>
        <w:rPr>
          <w:rFonts w:ascii="Times New Roman" w:hAnsi="Times New Roman"/>
          <w:color w:val="auto"/>
          <w:sz w:val="24"/>
          <w:szCs w:val="24"/>
          <w:highlight w:val="none"/>
        </w:rPr>
      </w:pPr>
      <w:r>
        <w:rPr>
          <w:rFonts w:hint="eastAsia" w:ascii="Times New Roman" w:hAnsi="Times New Roman"/>
          <w:color w:val="auto"/>
          <w:sz w:val="24"/>
          <w:szCs w:val="24"/>
          <w:highlight w:val="none"/>
        </w:rPr>
        <w:t>备注：1.非残疾人福利性单位不需提供此函。</w:t>
      </w:r>
    </w:p>
    <w:p>
      <w:pPr>
        <w:rPr>
          <w:rFonts w:ascii="仿宋" w:hAnsi="仿宋" w:eastAsia="仿宋" w:cs="仿宋"/>
          <w:color w:val="auto"/>
          <w:sz w:val="24"/>
          <w:szCs w:val="24"/>
          <w:highlight w:val="none"/>
        </w:rPr>
      </w:pPr>
      <w:r>
        <w:rPr>
          <w:rFonts w:hint="eastAsia"/>
          <w:color w:val="auto"/>
          <w:sz w:val="24"/>
          <w:szCs w:val="24"/>
          <w:highlight w:val="none"/>
        </w:rPr>
        <w:br w:type="page" w:clear="all"/>
      </w:r>
      <w:bookmarkEnd w:id="112"/>
    </w:p>
    <w:p>
      <w:pPr>
        <w:pStyle w:val="87"/>
        <w:rPr>
          <w:rFonts w:ascii="宋体" w:hAnsi="宋体" w:eastAsia="宋体" w:cs="宋体"/>
          <w:color w:val="auto"/>
          <w:highlight w:val="none"/>
        </w:rPr>
      </w:pPr>
      <w:r>
        <w:rPr>
          <w:rFonts w:hint="eastAsia" w:ascii="宋体" w:hAnsi="宋体" w:cs="宋体"/>
          <w:color w:val="auto"/>
          <w:sz w:val="34"/>
          <w:highlight w:val="none"/>
        </w:rPr>
        <w:t>六、</w:t>
      </w:r>
      <w:r>
        <w:rPr>
          <w:rFonts w:hint="eastAsia" w:ascii="宋体" w:hAnsi="宋体" w:eastAsia="宋体" w:cs="宋体"/>
          <w:color w:val="auto"/>
          <w:highlight w:val="none"/>
        </w:rPr>
        <w:t>项目组人员</w:t>
      </w:r>
    </w:p>
    <w:tbl>
      <w:tblPr>
        <w:tblStyle w:val="37"/>
        <w:tblpPr w:leftFromText="180" w:rightFromText="180" w:vertAnchor="text" w:horzAnchor="margin" w:tblpXSpec="center" w:tblpY="74"/>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pPr>
              <w:pStyle w:val="150"/>
              <w:jc w:val="center"/>
              <w:rPr>
                <w:rFonts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pPr>
              <w:pStyle w:val="712"/>
              <w:widowControl/>
              <w:spacing w:line="560" w:lineRule="exact"/>
              <w:ind w:firstLine="560"/>
              <w:jc w:val="center"/>
              <w:rPr>
                <w:rFonts w:ascii="仿宋" w:hAnsi="仿宋" w:eastAsia="仿宋" w:cs="仿宋"/>
                <w:color w:val="auto"/>
                <w:sz w:val="28"/>
                <w:szCs w:val="28"/>
                <w:highlight w:val="none"/>
              </w:rPr>
            </w:pPr>
          </w:p>
        </w:tc>
      </w:tr>
    </w:tbl>
    <w:p>
      <w:pPr>
        <w:spacing w:line="480" w:lineRule="exact"/>
        <w:ind w:firstLine="210"/>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注：</w:t>
      </w:r>
      <w:bookmarkStart w:id="122" w:name="_格式2__法定代表人授权书"/>
      <w:bookmarkEnd w:id="122"/>
      <w:r>
        <w:rPr>
          <w:rFonts w:hint="eastAsia" w:ascii="Times New Roman" w:hAnsi="Times New Roman" w:cs="宋体"/>
          <w:color w:val="auto"/>
          <w:sz w:val="24"/>
          <w:szCs w:val="20"/>
          <w:highlight w:val="none"/>
        </w:rPr>
        <w:t>1、涉及评分标准的项目组人员在本表中填报，相关证明材料附后。未涉及评分标准的其他人员可在</w:t>
      </w:r>
      <w:r>
        <w:rPr>
          <w:rFonts w:hint="eastAsia" w:ascii="Times New Roman" w:hAnsi="Times New Roman" w:cs="宋体"/>
          <w:color w:val="auto"/>
          <w:sz w:val="24"/>
          <w:szCs w:val="20"/>
          <w:highlight w:val="none"/>
          <w:lang w:eastAsia="zh-CN"/>
        </w:rPr>
        <w:t>中标（成交）后</w:t>
      </w:r>
      <w:r>
        <w:rPr>
          <w:rFonts w:hint="eastAsia" w:ascii="Times New Roman" w:hAnsi="Times New Roman" w:cs="宋体"/>
          <w:color w:val="auto"/>
          <w:sz w:val="24"/>
          <w:szCs w:val="20"/>
          <w:highlight w:val="none"/>
        </w:rPr>
        <w:t>按采购需求要求进行配备，合同签订前报采购人认可。</w:t>
      </w:r>
    </w:p>
    <w:p>
      <w:pPr>
        <w:spacing w:line="480" w:lineRule="exact"/>
        <w:ind w:firstLine="720"/>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2.</w:t>
      </w:r>
      <w:r>
        <w:rPr>
          <w:rFonts w:hint="eastAsia" w:ascii="Times New Roman" w:hAnsi="Times New Roman" w:cs="宋体"/>
          <w:color w:val="auto"/>
          <w:sz w:val="24"/>
          <w:szCs w:val="20"/>
          <w:highlight w:val="none"/>
          <w:lang w:eastAsia="zh-CN"/>
        </w:rPr>
        <w:t>中标（成交）后</w:t>
      </w:r>
      <w:r>
        <w:rPr>
          <w:rFonts w:hint="eastAsia" w:ascii="Times New Roman" w:hAnsi="Times New Roman" w:cs="宋体"/>
          <w:color w:val="auto"/>
          <w:sz w:val="24"/>
          <w:szCs w:val="20"/>
          <w:highlight w:val="none"/>
        </w:rPr>
        <w:t>，本表（身份证信息除外）将随中标结果公告公开。</w:t>
      </w: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rPr>
          <w:rFonts w:ascii="宋体" w:hAnsi="宋体" w:cs="宋体"/>
          <w:color w:val="auto"/>
          <w:sz w:val="32"/>
          <w:szCs w:val="32"/>
          <w:highlight w:val="none"/>
        </w:rPr>
      </w:pPr>
      <w:bookmarkStart w:id="123" w:name="_Toc11176"/>
      <w:r>
        <w:rPr>
          <w:rFonts w:hint="eastAsia" w:ascii="宋体" w:hAnsi="宋体" w:cs="宋体"/>
          <w:color w:val="auto"/>
          <w:sz w:val="32"/>
          <w:szCs w:val="32"/>
          <w:highlight w:val="none"/>
        </w:rPr>
        <w:br w:type="page" w:clear="all"/>
      </w:r>
    </w:p>
    <w:p>
      <w:pPr>
        <w:pStyle w:val="87"/>
        <w:spacing w:before="0" w:after="0" w:line="520" w:lineRule="exact"/>
        <w:rPr>
          <w:rFonts w:ascii="宋体" w:hAnsi="宋体" w:eastAsia="宋体" w:cs="宋体"/>
          <w:color w:val="auto"/>
          <w:sz w:val="32"/>
          <w:szCs w:val="32"/>
          <w:highlight w:val="none"/>
        </w:rPr>
      </w:pPr>
      <w:bookmarkStart w:id="124" w:name="OLE_LINK36"/>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w:t>
      </w:r>
      <w:bookmarkEnd w:id="123"/>
      <w:r>
        <w:rPr>
          <w:rFonts w:hint="eastAsia" w:ascii="宋体" w:hAnsi="宋体" w:eastAsia="宋体" w:cs="宋体"/>
          <w:color w:val="auto"/>
          <w:sz w:val="32"/>
          <w:szCs w:val="32"/>
          <w:highlight w:val="none"/>
        </w:rPr>
        <w:t>企业业绩</w:t>
      </w:r>
    </w:p>
    <w:p>
      <w:pPr>
        <w:pStyle w:val="676"/>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类似项目业绩一览表</w:t>
      </w:r>
    </w:p>
    <w:tbl>
      <w:tblPr>
        <w:tblStyle w:val="37"/>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7"/>
        <w:gridCol w:w="3078"/>
        <w:gridCol w:w="1977"/>
        <w:gridCol w:w="1487"/>
        <w:gridCol w:w="17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jc w:val="center"/>
        </w:trPr>
        <w:tc>
          <w:tcPr>
            <w:tcW w:w="1027" w:type="dxa"/>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序号</w:t>
            </w:r>
          </w:p>
        </w:tc>
        <w:tc>
          <w:tcPr>
            <w:tcW w:w="3078" w:type="dxa"/>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项目名称</w:t>
            </w:r>
          </w:p>
        </w:tc>
        <w:tc>
          <w:tcPr>
            <w:tcW w:w="1977" w:type="dxa"/>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采购单位</w:t>
            </w:r>
          </w:p>
        </w:tc>
        <w:tc>
          <w:tcPr>
            <w:tcW w:w="1487" w:type="dxa"/>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签订时间</w:t>
            </w:r>
          </w:p>
        </w:tc>
        <w:tc>
          <w:tcPr>
            <w:tcW w:w="1734" w:type="dxa"/>
            <w:vAlign w:val="center"/>
          </w:tcPr>
          <w:p>
            <w:pPr>
              <w:pStyle w:val="713"/>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甲方履约评价结果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jc w:val="center"/>
        </w:trPr>
        <w:tc>
          <w:tcPr>
            <w:tcW w:w="1027" w:type="dxa"/>
          </w:tcPr>
          <w:p>
            <w:pPr>
              <w:pStyle w:val="713"/>
              <w:spacing w:line="560" w:lineRule="exact"/>
              <w:jc w:val="center"/>
              <w:rPr>
                <w:rFonts w:ascii="仿宋" w:hAnsi="仿宋" w:eastAsia="仿宋" w:cs="仿宋"/>
                <w:color w:val="auto"/>
                <w:sz w:val="28"/>
                <w:highlight w:val="none"/>
              </w:rPr>
            </w:pPr>
          </w:p>
        </w:tc>
        <w:tc>
          <w:tcPr>
            <w:tcW w:w="3078" w:type="dxa"/>
            <w:vAlign w:val="center"/>
          </w:tcPr>
          <w:p>
            <w:pPr>
              <w:pStyle w:val="713"/>
              <w:spacing w:line="560" w:lineRule="exact"/>
              <w:jc w:val="center"/>
              <w:rPr>
                <w:rFonts w:ascii="仿宋" w:hAnsi="仿宋" w:eastAsia="仿宋" w:cs="仿宋"/>
                <w:color w:val="auto"/>
                <w:sz w:val="28"/>
                <w:highlight w:val="none"/>
              </w:rPr>
            </w:pPr>
          </w:p>
        </w:tc>
        <w:tc>
          <w:tcPr>
            <w:tcW w:w="1977" w:type="dxa"/>
            <w:vAlign w:val="center"/>
          </w:tcPr>
          <w:p>
            <w:pPr>
              <w:pStyle w:val="713"/>
              <w:spacing w:line="560" w:lineRule="exact"/>
              <w:jc w:val="center"/>
              <w:rPr>
                <w:rFonts w:ascii="仿宋" w:hAnsi="仿宋" w:eastAsia="仿宋" w:cs="仿宋"/>
                <w:color w:val="auto"/>
                <w:sz w:val="28"/>
                <w:highlight w:val="none"/>
              </w:rPr>
            </w:pPr>
          </w:p>
        </w:tc>
        <w:tc>
          <w:tcPr>
            <w:tcW w:w="1487" w:type="dxa"/>
            <w:vAlign w:val="center"/>
          </w:tcPr>
          <w:p>
            <w:pPr>
              <w:pStyle w:val="713"/>
              <w:spacing w:line="560" w:lineRule="exact"/>
              <w:jc w:val="center"/>
              <w:rPr>
                <w:rFonts w:ascii="仿宋" w:hAnsi="仿宋" w:eastAsia="仿宋" w:cs="仿宋"/>
                <w:color w:val="auto"/>
                <w:sz w:val="28"/>
                <w:highlight w:val="none"/>
              </w:rPr>
            </w:pPr>
          </w:p>
        </w:tc>
        <w:tc>
          <w:tcPr>
            <w:tcW w:w="1734" w:type="dxa"/>
            <w:vAlign w:val="center"/>
          </w:tcPr>
          <w:p>
            <w:pPr>
              <w:pStyle w:val="713"/>
              <w:spacing w:line="560" w:lineRule="exact"/>
              <w:jc w:val="center"/>
              <w:rPr>
                <w:rFonts w:ascii="仿宋" w:hAnsi="仿宋" w:eastAsia="仿宋" w:cs="仿宋"/>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jc w:val="center"/>
        </w:trPr>
        <w:tc>
          <w:tcPr>
            <w:tcW w:w="1027" w:type="dxa"/>
          </w:tcPr>
          <w:p>
            <w:pPr>
              <w:pStyle w:val="713"/>
              <w:spacing w:line="560" w:lineRule="exact"/>
              <w:jc w:val="center"/>
              <w:rPr>
                <w:rFonts w:ascii="仿宋" w:hAnsi="仿宋" w:eastAsia="仿宋" w:cs="仿宋"/>
                <w:color w:val="auto"/>
                <w:sz w:val="28"/>
                <w:highlight w:val="none"/>
              </w:rPr>
            </w:pPr>
          </w:p>
        </w:tc>
        <w:tc>
          <w:tcPr>
            <w:tcW w:w="3078" w:type="dxa"/>
            <w:vAlign w:val="center"/>
          </w:tcPr>
          <w:p>
            <w:pPr>
              <w:pStyle w:val="713"/>
              <w:spacing w:line="560" w:lineRule="exact"/>
              <w:jc w:val="center"/>
              <w:rPr>
                <w:rFonts w:ascii="仿宋" w:hAnsi="仿宋" w:eastAsia="仿宋" w:cs="仿宋"/>
                <w:color w:val="auto"/>
                <w:sz w:val="28"/>
                <w:highlight w:val="none"/>
              </w:rPr>
            </w:pPr>
          </w:p>
        </w:tc>
        <w:tc>
          <w:tcPr>
            <w:tcW w:w="1977" w:type="dxa"/>
            <w:vAlign w:val="center"/>
          </w:tcPr>
          <w:p>
            <w:pPr>
              <w:pStyle w:val="713"/>
              <w:spacing w:line="560" w:lineRule="exact"/>
              <w:jc w:val="center"/>
              <w:rPr>
                <w:rFonts w:ascii="仿宋" w:hAnsi="仿宋" w:eastAsia="仿宋" w:cs="仿宋"/>
                <w:color w:val="auto"/>
                <w:sz w:val="28"/>
                <w:highlight w:val="none"/>
              </w:rPr>
            </w:pPr>
          </w:p>
        </w:tc>
        <w:tc>
          <w:tcPr>
            <w:tcW w:w="1487" w:type="dxa"/>
            <w:vAlign w:val="center"/>
          </w:tcPr>
          <w:p>
            <w:pPr>
              <w:pStyle w:val="713"/>
              <w:spacing w:line="560" w:lineRule="exact"/>
              <w:jc w:val="center"/>
              <w:rPr>
                <w:rFonts w:ascii="仿宋" w:hAnsi="仿宋" w:eastAsia="仿宋" w:cs="仿宋"/>
                <w:color w:val="auto"/>
                <w:sz w:val="28"/>
                <w:highlight w:val="none"/>
              </w:rPr>
            </w:pPr>
          </w:p>
        </w:tc>
        <w:tc>
          <w:tcPr>
            <w:tcW w:w="1734" w:type="dxa"/>
            <w:vAlign w:val="center"/>
          </w:tcPr>
          <w:p>
            <w:pPr>
              <w:pStyle w:val="713"/>
              <w:spacing w:line="560" w:lineRule="exact"/>
              <w:jc w:val="center"/>
              <w:rPr>
                <w:rFonts w:ascii="仿宋" w:hAnsi="仿宋" w:eastAsia="仿宋" w:cs="仿宋"/>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jc w:val="center"/>
        </w:trPr>
        <w:tc>
          <w:tcPr>
            <w:tcW w:w="1027" w:type="dxa"/>
          </w:tcPr>
          <w:p>
            <w:pPr>
              <w:pStyle w:val="713"/>
              <w:spacing w:line="560" w:lineRule="exact"/>
              <w:jc w:val="center"/>
              <w:rPr>
                <w:rFonts w:ascii="仿宋" w:hAnsi="仿宋" w:eastAsia="仿宋" w:cs="仿宋"/>
                <w:color w:val="auto"/>
                <w:sz w:val="28"/>
                <w:highlight w:val="none"/>
              </w:rPr>
            </w:pPr>
          </w:p>
        </w:tc>
        <w:tc>
          <w:tcPr>
            <w:tcW w:w="3078" w:type="dxa"/>
            <w:vAlign w:val="center"/>
          </w:tcPr>
          <w:p>
            <w:pPr>
              <w:pStyle w:val="713"/>
              <w:spacing w:line="560" w:lineRule="exact"/>
              <w:jc w:val="center"/>
              <w:rPr>
                <w:rFonts w:ascii="仿宋" w:hAnsi="仿宋" w:eastAsia="仿宋" w:cs="仿宋"/>
                <w:color w:val="auto"/>
                <w:sz w:val="28"/>
                <w:highlight w:val="none"/>
              </w:rPr>
            </w:pPr>
          </w:p>
        </w:tc>
        <w:tc>
          <w:tcPr>
            <w:tcW w:w="1977" w:type="dxa"/>
            <w:vAlign w:val="center"/>
          </w:tcPr>
          <w:p>
            <w:pPr>
              <w:pStyle w:val="713"/>
              <w:spacing w:line="560" w:lineRule="exact"/>
              <w:jc w:val="center"/>
              <w:rPr>
                <w:rFonts w:ascii="仿宋" w:hAnsi="仿宋" w:eastAsia="仿宋" w:cs="仿宋"/>
                <w:color w:val="auto"/>
                <w:sz w:val="28"/>
                <w:highlight w:val="none"/>
              </w:rPr>
            </w:pPr>
          </w:p>
        </w:tc>
        <w:tc>
          <w:tcPr>
            <w:tcW w:w="1487" w:type="dxa"/>
            <w:vAlign w:val="center"/>
          </w:tcPr>
          <w:p>
            <w:pPr>
              <w:pStyle w:val="713"/>
              <w:spacing w:line="560" w:lineRule="exact"/>
              <w:jc w:val="center"/>
              <w:rPr>
                <w:rFonts w:ascii="仿宋" w:hAnsi="仿宋" w:eastAsia="仿宋" w:cs="仿宋"/>
                <w:color w:val="auto"/>
                <w:sz w:val="28"/>
                <w:highlight w:val="none"/>
              </w:rPr>
            </w:pPr>
          </w:p>
        </w:tc>
        <w:tc>
          <w:tcPr>
            <w:tcW w:w="1734" w:type="dxa"/>
            <w:vAlign w:val="center"/>
          </w:tcPr>
          <w:p>
            <w:pPr>
              <w:pStyle w:val="713"/>
              <w:spacing w:line="560" w:lineRule="exact"/>
              <w:jc w:val="center"/>
              <w:rPr>
                <w:rFonts w:ascii="仿宋" w:hAnsi="仿宋" w:eastAsia="仿宋" w:cs="仿宋"/>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88" w:hRule="atLeast"/>
          <w:jc w:val="center"/>
        </w:trPr>
        <w:tc>
          <w:tcPr>
            <w:tcW w:w="1027" w:type="dxa"/>
          </w:tcPr>
          <w:p>
            <w:pPr>
              <w:pStyle w:val="713"/>
              <w:spacing w:line="560" w:lineRule="exact"/>
              <w:jc w:val="center"/>
              <w:rPr>
                <w:rFonts w:ascii="仿宋" w:hAnsi="仿宋" w:eastAsia="仿宋" w:cs="仿宋"/>
                <w:color w:val="auto"/>
                <w:sz w:val="28"/>
                <w:highlight w:val="none"/>
              </w:rPr>
            </w:pPr>
          </w:p>
        </w:tc>
        <w:tc>
          <w:tcPr>
            <w:tcW w:w="3078" w:type="dxa"/>
            <w:vAlign w:val="center"/>
          </w:tcPr>
          <w:p>
            <w:pPr>
              <w:pStyle w:val="713"/>
              <w:spacing w:line="560" w:lineRule="exact"/>
              <w:jc w:val="center"/>
              <w:rPr>
                <w:rFonts w:ascii="仿宋" w:hAnsi="仿宋" w:eastAsia="仿宋" w:cs="仿宋"/>
                <w:color w:val="auto"/>
                <w:sz w:val="28"/>
                <w:highlight w:val="none"/>
              </w:rPr>
            </w:pPr>
          </w:p>
        </w:tc>
        <w:tc>
          <w:tcPr>
            <w:tcW w:w="1977" w:type="dxa"/>
            <w:vAlign w:val="center"/>
          </w:tcPr>
          <w:p>
            <w:pPr>
              <w:pStyle w:val="713"/>
              <w:spacing w:line="560" w:lineRule="exact"/>
              <w:jc w:val="center"/>
              <w:rPr>
                <w:rFonts w:ascii="仿宋" w:hAnsi="仿宋" w:eastAsia="仿宋" w:cs="仿宋"/>
                <w:color w:val="auto"/>
                <w:sz w:val="28"/>
                <w:highlight w:val="none"/>
              </w:rPr>
            </w:pPr>
          </w:p>
        </w:tc>
        <w:tc>
          <w:tcPr>
            <w:tcW w:w="1487" w:type="dxa"/>
            <w:vAlign w:val="center"/>
          </w:tcPr>
          <w:p>
            <w:pPr>
              <w:pStyle w:val="713"/>
              <w:spacing w:line="560" w:lineRule="exact"/>
              <w:jc w:val="center"/>
              <w:rPr>
                <w:rFonts w:ascii="仿宋" w:hAnsi="仿宋" w:eastAsia="仿宋" w:cs="仿宋"/>
                <w:color w:val="auto"/>
                <w:sz w:val="28"/>
                <w:highlight w:val="none"/>
              </w:rPr>
            </w:pPr>
          </w:p>
        </w:tc>
        <w:tc>
          <w:tcPr>
            <w:tcW w:w="1734" w:type="dxa"/>
            <w:vAlign w:val="center"/>
          </w:tcPr>
          <w:p>
            <w:pPr>
              <w:pStyle w:val="713"/>
              <w:spacing w:line="560" w:lineRule="exact"/>
              <w:jc w:val="center"/>
              <w:rPr>
                <w:rFonts w:ascii="仿宋" w:hAnsi="仿宋" w:eastAsia="仿宋" w:cs="仿宋"/>
                <w:color w:val="auto"/>
                <w:sz w:val="28"/>
                <w:highlight w:val="none"/>
              </w:rPr>
            </w:pPr>
          </w:p>
        </w:tc>
      </w:tr>
    </w:tbl>
    <w:p>
      <w:pPr>
        <w:pStyle w:val="676"/>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注：涉及评分标准的“企业业绩”在本表中填报，相关证明材料附后。</w:t>
      </w:r>
      <w:r>
        <w:rPr>
          <w:rFonts w:hint="eastAsia" w:ascii="Times New Roman" w:hAnsi="Times New Roman" w:cs="仿宋"/>
          <w:color w:val="auto"/>
          <w:sz w:val="24"/>
          <w:szCs w:val="24"/>
          <w:highlight w:val="none"/>
          <w:lang w:eastAsia="zh-CN"/>
        </w:rPr>
        <w:t>中标（成交）后</w:t>
      </w:r>
      <w:r>
        <w:rPr>
          <w:rFonts w:hint="eastAsia" w:ascii="Times New Roman" w:hAnsi="Times New Roman" w:cs="仿宋"/>
          <w:color w:val="auto"/>
          <w:sz w:val="24"/>
          <w:szCs w:val="24"/>
          <w:highlight w:val="none"/>
        </w:rPr>
        <w:t>，本表将随中标结果进行公开。</w:t>
      </w:r>
    </w:p>
    <w:bookmarkEnd w:id="124"/>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p>
    <w:p>
      <w:pPr>
        <w:pStyle w:val="87"/>
        <w:spacing w:before="0" w:after="0" w:line="520" w:lineRule="exact"/>
        <w:rPr>
          <w:rFonts w:hint="eastAsia" w:ascii="宋体" w:hAnsi="宋体" w:eastAsia="宋体" w:cs="宋体"/>
          <w:color w:val="auto"/>
          <w:sz w:val="32"/>
          <w:szCs w:val="32"/>
          <w:highlight w:val="none"/>
          <w:lang w:val="en-US" w:eastAsia="zh-CN"/>
        </w:rPr>
      </w:pPr>
      <w:bookmarkStart w:id="125" w:name="OLE_LINK37"/>
      <w:bookmarkStart w:id="126" w:name="_Toc28140"/>
      <w:r>
        <w:rPr>
          <w:rFonts w:hint="eastAsia" w:ascii="宋体" w:hAnsi="宋体" w:eastAsia="宋体" w:cs="宋体"/>
          <w:color w:val="auto"/>
          <w:sz w:val="32"/>
          <w:szCs w:val="32"/>
          <w:highlight w:val="none"/>
          <w:lang w:val="en-US" w:eastAsia="zh-CN"/>
        </w:rPr>
        <w:t>八、相关证书</w:t>
      </w:r>
    </w:p>
    <w:tbl>
      <w:tblPr>
        <w:tblStyle w:val="37"/>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0"/>
        <w:gridCol w:w="2694"/>
        <w:gridCol w:w="1812"/>
        <w:gridCol w:w="1417"/>
        <w:gridCol w:w="15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590" w:type="dxa"/>
            <w:tcBorders>
              <w:top w:val="single" w:color="000000" w:sz="4" w:space="0"/>
              <w:left w:val="single" w:color="000000" w:sz="4" w:space="0"/>
              <w:bottom w:val="single" w:color="000000" w:sz="4" w:space="0"/>
              <w:right w:val="single" w:color="000000" w:sz="4" w:space="0"/>
            </w:tcBorders>
          </w:tcPr>
          <w:p>
            <w:pPr>
              <w:widowControl/>
              <w:spacing w:line="400" w:lineRule="exact"/>
              <w:jc w:val="center"/>
              <w:rPr>
                <w:rFonts w:hint="eastAsia" w:ascii="宋体" w:hAnsi="宋体" w:cs="宋体"/>
                <w:color w:val="auto"/>
                <w:sz w:val="28"/>
                <w:szCs w:val="28"/>
              </w:rPr>
            </w:pPr>
            <w:r>
              <w:rPr>
                <w:rFonts w:ascii="宋体" w:hAnsi="宋体" w:cs="宋体"/>
                <w:color w:val="auto"/>
                <w:sz w:val="28"/>
                <w:szCs w:val="28"/>
              </w:rPr>
              <w:t>序</w:t>
            </w:r>
          </w:p>
          <w:p>
            <w:pPr>
              <w:widowControl/>
              <w:spacing w:line="400" w:lineRule="exact"/>
              <w:jc w:val="center"/>
              <w:rPr>
                <w:rFonts w:hint="eastAsia" w:ascii="宋体" w:hAnsi="宋体" w:cs="宋体"/>
                <w:color w:val="auto"/>
                <w:sz w:val="28"/>
                <w:szCs w:val="28"/>
              </w:rPr>
            </w:pPr>
            <w:r>
              <w:rPr>
                <w:rFonts w:ascii="宋体" w:hAnsi="宋体" w:cs="宋体"/>
                <w:color w:val="auto"/>
                <w:sz w:val="28"/>
                <w:szCs w:val="28"/>
              </w:rPr>
              <w:t>号</w:t>
            </w:r>
          </w:p>
        </w:tc>
        <w:tc>
          <w:tcPr>
            <w:tcW w:w="2694"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hint="eastAsia" w:ascii="宋体" w:hAnsi="宋体" w:cs="宋体"/>
                <w:color w:val="auto"/>
                <w:sz w:val="28"/>
                <w:szCs w:val="28"/>
              </w:rPr>
            </w:pPr>
            <w:r>
              <w:rPr>
                <w:rFonts w:hint="eastAsia" w:ascii="宋体" w:hAnsi="宋体" w:cs="宋体"/>
                <w:color w:val="auto"/>
                <w:sz w:val="28"/>
                <w:szCs w:val="28"/>
              </w:rPr>
              <w:t>证书名称</w:t>
            </w:r>
          </w:p>
        </w:tc>
        <w:tc>
          <w:tcPr>
            <w:tcW w:w="1812"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hint="eastAsia" w:ascii="宋体" w:hAnsi="宋体" w:cs="宋体"/>
                <w:color w:val="auto"/>
                <w:sz w:val="28"/>
                <w:szCs w:val="28"/>
              </w:rPr>
            </w:pPr>
            <w:r>
              <w:rPr>
                <w:rFonts w:hint="eastAsia" w:ascii="宋体" w:hAnsi="宋体" w:cs="宋体"/>
                <w:color w:val="auto"/>
                <w:sz w:val="28"/>
                <w:szCs w:val="28"/>
              </w:rPr>
              <w:t>颁发机构</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hint="eastAsia" w:ascii="宋体" w:hAnsi="宋体" w:cs="宋体"/>
                <w:color w:val="auto"/>
                <w:sz w:val="28"/>
                <w:szCs w:val="28"/>
              </w:rPr>
            </w:pPr>
            <w:r>
              <w:rPr>
                <w:rFonts w:hint="eastAsia" w:ascii="宋体" w:hAnsi="宋体" w:cs="宋体"/>
                <w:color w:val="auto"/>
                <w:sz w:val="28"/>
                <w:szCs w:val="28"/>
              </w:rPr>
              <w:t>颁发时间</w:t>
            </w:r>
          </w:p>
        </w:tc>
        <w:tc>
          <w:tcPr>
            <w:tcW w:w="1517"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hint="eastAsia" w:ascii="宋体" w:hAnsi="宋体" w:cs="宋体"/>
                <w:color w:val="auto"/>
                <w:sz w:val="28"/>
                <w:szCs w:val="28"/>
              </w:rPr>
            </w:pPr>
            <w:r>
              <w:rPr>
                <w:rFonts w:hint="eastAsia" w:ascii="宋体" w:hAnsi="宋体" w:cs="宋体"/>
                <w:color w:val="auto"/>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10" w:hRule="atLeast"/>
          <w:jc w:val="center"/>
        </w:trPr>
        <w:tc>
          <w:tcPr>
            <w:tcW w:w="1590" w:type="dxa"/>
            <w:tcBorders>
              <w:top w:val="single" w:color="000000" w:sz="4" w:space="0"/>
              <w:left w:val="single" w:color="000000" w:sz="4" w:space="0"/>
              <w:bottom w:val="single" w:color="000000" w:sz="4" w:space="0"/>
              <w:right w:val="single" w:color="000000" w:sz="4" w:space="0"/>
            </w:tcBorders>
          </w:tcPr>
          <w:p>
            <w:pPr>
              <w:spacing w:line="560" w:lineRule="exact"/>
              <w:jc w:val="center"/>
              <w:rPr>
                <w:rFonts w:ascii="仿宋_GB2312" w:hAnsi="Times New Roman" w:eastAsia="仿宋_GB2312"/>
                <w:color w:val="auto"/>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10" w:hRule="atLeast"/>
          <w:jc w:val="center"/>
        </w:trPr>
        <w:tc>
          <w:tcPr>
            <w:tcW w:w="1590" w:type="dxa"/>
            <w:tcBorders>
              <w:top w:val="single" w:color="000000" w:sz="4" w:space="0"/>
              <w:left w:val="single" w:color="000000" w:sz="4" w:space="0"/>
              <w:bottom w:val="single" w:color="000000" w:sz="4" w:space="0"/>
              <w:right w:val="single" w:color="000000" w:sz="4" w:space="0"/>
            </w:tcBorders>
          </w:tcPr>
          <w:p>
            <w:pPr>
              <w:spacing w:line="560" w:lineRule="exact"/>
              <w:jc w:val="center"/>
              <w:rPr>
                <w:rFonts w:ascii="仿宋_GB2312" w:hAnsi="Times New Roman" w:eastAsia="仿宋_GB2312"/>
                <w:color w:val="auto"/>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Borders>
              <w:top w:val="single" w:color="000000" w:sz="4" w:space="0"/>
              <w:left w:val="single" w:color="000000" w:sz="4" w:space="0"/>
              <w:bottom w:val="single" w:color="000000" w:sz="4" w:space="0"/>
              <w:right w:val="single" w:color="000000" w:sz="4" w:space="0"/>
            </w:tcBorders>
          </w:tcPr>
          <w:p>
            <w:pPr>
              <w:spacing w:line="560" w:lineRule="exact"/>
              <w:jc w:val="center"/>
              <w:rPr>
                <w:rFonts w:ascii="仿宋_GB2312" w:hAnsi="Times New Roman" w:eastAsia="仿宋_GB2312"/>
                <w:color w:val="auto"/>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590" w:type="dxa"/>
            <w:tcBorders>
              <w:top w:val="single" w:color="000000" w:sz="4" w:space="0"/>
              <w:left w:val="single" w:color="000000" w:sz="4" w:space="0"/>
              <w:bottom w:val="single" w:color="000000" w:sz="4" w:space="0"/>
              <w:right w:val="single" w:color="000000" w:sz="4" w:space="0"/>
            </w:tcBorders>
          </w:tcPr>
          <w:p>
            <w:pPr>
              <w:spacing w:line="560" w:lineRule="exact"/>
              <w:jc w:val="center"/>
              <w:rPr>
                <w:rFonts w:ascii="仿宋_GB2312" w:hAnsi="Times New Roman" w:eastAsia="仿宋_GB2312"/>
                <w:color w:val="auto"/>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ascii="仿宋_GB2312" w:hAnsi="Times New Roman" w:eastAsia="仿宋_GB2312"/>
                <w:color w:val="auto"/>
                <w:sz w:val="28"/>
                <w:szCs w:val="24"/>
              </w:rPr>
            </w:pPr>
          </w:p>
        </w:tc>
      </w:tr>
    </w:tbl>
    <w:p>
      <w:pPr>
        <w:spacing w:line="500" w:lineRule="exact"/>
        <w:ind w:firstLine="240"/>
        <w:rPr>
          <w:rFonts w:ascii="Times New Roman" w:hAnsi="Times New Roman" w:cs="方正仿宋_GBK"/>
          <w:bCs/>
          <w:color w:val="auto"/>
          <w:sz w:val="24"/>
          <w:szCs w:val="24"/>
        </w:rPr>
      </w:pPr>
      <w:r>
        <w:rPr>
          <w:rFonts w:hint="eastAsia" w:ascii="宋体" w:hAnsi="宋体"/>
          <w:bCs/>
          <w:color w:val="auto"/>
          <w:sz w:val="24"/>
        </w:rPr>
        <w:t>注：</w:t>
      </w:r>
      <w:r>
        <w:rPr>
          <w:rFonts w:hint="eastAsia" w:ascii="Times New Roman" w:hAnsi="Times New Roman" w:cs="方正仿宋_GBK"/>
          <w:bCs/>
          <w:color w:val="auto"/>
          <w:sz w:val="24"/>
          <w:szCs w:val="24"/>
        </w:rPr>
        <w:t>涉及评分标准的“企业证书”在本表中填报，相关证明材料附后。中标后，本表将随中标结果进行公开。</w:t>
      </w:r>
    </w:p>
    <w:bookmarkEnd w:id="125"/>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p>
    <w:p>
      <w:pPr>
        <w:pStyle w:val="87"/>
        <w:spacing w:before="0" w:after="0" w:line="520" w:lineRule="exact"/>
        <w:rPr>
          <w:rFonts w:ascii="宋体" w:hAnsi="宋体" w:eastAsia="宋体" w:cs="宋体"/>
          <w:color w:val="auto"/>
          <w:sz w:val="32"/>
          <w:szCs w:val="32"/>
          <w:highlight w:val="none"/>
        </w:rPr>
      </w:pPr>
      <w:bookmarkStart w:id="127" w:name="_Toc256000030"/>
      <w:bookmarkStart w:id="128" w:name="OLE_LINK31"/>
      <w:r>
        <w:rPr>
          <w:rFonts w:hint="eastAsia" w:ascii="宋体" w:hAnsi="宋体" w:eastAsia="宋体" w:cs="宋体"/>
          <w:color w:val="auto"/>
          <w:sz w:val="32"/>
          <w:szCs w:val="32"/>
          <w:highlight w:val="none"/>
          <w:lang w:val="en-US" w:eastAsia="zh-CN"/>
        </w:rPr>
        <w:t>九</w:t>
      </w:r>
      <w:r>
        <w:rPr>
          <w:rFonts w:hint="eastAsia" w:ascii="宋体" w:hAnsi="宋体" w:eastAsia="宋体" w:cs="宋体"/>
          <w:color w:val="auto"/>
          <w:sz w:val="32"/>
          <w:szCs w:val="32"/>
          <w:highlight w:val="none"/>
        </w:rPr>
        <w:t>、</w:t>
      </w:r>
      <w:bookmarkEnd w:id="127"/>
      <w:r>
        <w:rPr>
          <w:rFonts w:hint="eastAsia" w:ascii="宋体" w:hAnsi="宋体" w:eastAsia="宋体" w:cs="宋体"/>
          <w:color w:val="auto"/>
          <w:sz w:val="32"/>
          <w:szCs w:val="32"/>
          <w:highlight w:val="none"/>
        </w:rPr>
        <w:t>人员配备要求承诺函</w:t>
      </w:r>
    </w:p>
    <w:p>
      <w:pPr>
        <w:pStyle w:val="699"/>
        <w:jc w:val="center"/>
        <w:rPr>
          <w:rFonts w:ascii="宋体" w:hAnsi="宋体" w:cs="宋体"/>
          <w:color w:val="auto"/>
          <w:sz w:val="30"/>
          <w:szCs w:val="30"/>
          <w:highlight w:val="none"/>
        </w:rPr>
      </w:pPr>
    </w:p>
    <w:p>
      <w:pPr>
        <w:pStyle w:val="699"/>
        <w:jc w:val="center"/>
        <w:rPr>
          <w:rFonts w:ascii="宋体" w:hAnsi="宋体" w:cs="宋体"/>
          <w:color w:val="auto"/>
          <w:sz w:val="30"/>
          <w:szCs w:val="30"/>
          <w:highlight w:val="none"/>
        </w:rPr>
      </w:pPr>
    </w:p>
    <w:p>
      <w:pPr>
        <w:pStyle w:val="699"/>
        <w:jc w:val="center"/>
        <w:rPr>
          <w:rFonts w:ascii="宋体" w:hAnsi="宋体" w:cs="宋体"/>
          <w:color w:val="auto"/>
          <w:sz w:val="28"/>
          <w:szCs w:val="28"/>
          <w:highlight w:val="none"/>
        </w:rPr>
      </w:pPr>
      <w:r>
        <w:rPr>
          <w:rFonts w:hint="eastAsia" w:ascii="宋体" w:hAnsi="宋体" w:cs="宋体"/>
          <w:color w:val="auto"/>
          <w:sz w:val="30"/>
          <w:szCs w:val="30"/>
          <w:highlight w:val="none"/>
        </w:rPr>
        <w:t>人员配备要求承诺函</w:t>
      </w:r>
    </w:p>
    <w:p>
      <w:pPr>
        <w:pStyle w:val="699"/>
        <w:spacing w:before="10" w:after="10" w:line="600" w:lineRule="exact"/>
        <w:rPr>
          <w:rFonts w:ascii="宋体" w:hAnsi="宋体" w:cs="宋体"/>
          <w:color w:val="auto"/>
          <w:sz w:val="28"/>
          <w:highlight w:val="none"/>
        </w:rPr>
      </w:pPr>
    </w:p>
    <w:p>
      <w:pPr>
        <w:pStyle w:val="699"/>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采购单位名称</w:t>
      </w:r>
      <w:r>
        <w:rPr>
          <w:rFonts w:hint="eastAsia" w:ascii="宋体" w:hAnsi="宋体" w:cs="宋体"/>
          <w:color w:val="auto"/>
          <w:sz w:val="28"/>
          <w:szCs w:val="28"/>
          <w:highlight w:val="none"/>
          <w:u w:val="single"/>
        </w:rPr>
        <w:t>：</w:t>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根据</w:t>
      </w:r>
      <w:r>
        <w:rPr>
          <w:rFonts w:hint="eastAsia" w:ascii="宋体" w:hAnsi="宋体" w:cs="宋体"/>
          <w:color w:val="auto"/>
          <w:sz w:val="28"/>
          <w:highlight w:val="none"/>
          <w:u w:val="single"/>
          <w:lang w:eastAsia="zh-CN"/>
        </w:rPr>
        <w:t>JSZC-321311-JZCG-C2026-0004</w:t>
      </w:r>
      <w:r>
        <w:rPr>
          <w:rFonts w:hint="eastAsia" w:ascii="宋体" w:hAnsi="宋体" w:cs="宋体"/>
          <w:color w:val="auto"/>
          <w:sz w:val="28"/>
          <w:highlight w:val="none"/>
          <w:u w:val="single"/>
          <w:lang w:val="en-US" w:eastAsia="zh-CN"/>
        </w:rPr>
        <w:t xml:space="preserve">  </w:t>
      </w:r>
      <w:r>
        <w:rPr>
          <w:rFonts w:hint="eastAsia" w:ascii="宋体" w:hAnsi="宋体" w:cs="宋体"/>
          <w:color w:val="auto"/>
          <w:sz w:val="28"/>
          <w:highlight w:val="none"/>
        </w:rPr>
        <w:t>号</w:t>
      </w:r>
      <w:r>
        <w:rPr>
          <w:rFonts w:hint="eastAsia" w:ascii="宋体" w:hAnsi="宋体" w:cs="宋体"/>
          <w:color w:val="auto"/>
          <w:sz w:val="28"/>
          <w:szCs w:val="28"/>
          <w:highlight w:val="none"/>
          <w:u w:val="single"/>
          <w:lang w:eastAsia="zh-CN"/>
        </w:rPr>
        <w:t>2026年-2027年宿豫区教育局物业服务采购项目</w:t>
      </w:r>
      <w:r>
        <w:rPr>
          <w:rFonts w:hint="eastAsia" w:ascii="宋体" w:hAnsi="宋体" w:cs="宋体"/>
          <w:color w:val="auto"/>
          <w:sz w:val="28"/>
          <w:szCs w:val="28"/>
          <w:highlight w:val="none"/>
        </w:rPr>
        <w:t>采购文件相关要求，承诺如下：针对“第四部分、采购需求中二、服务范围及内容”内容，我单位完全响应，</w:t>
      </w:r>
      <w:r>
        <w:rPr>
          <w:rFonts w:hint="eastAsia" w:ascii="宋体" w:hAnsi="宋体" w:cs="宋体"/>
          <w:color w:val="auto"/>
          <w:sz w:val="28"/>
          <w:szCs w:val="28"/>
          <w:highlight w:val="none"/>
          <w:lang w:eastAsia="zh-CN"/>
        </w:rPr>
        <w:t>如我单位中标（成交）</w:t>
      </w:r>
      <w:r>
        <w:rPr>
          <w:rFonts w:hint="eastAsia" w:ascii="宋体" w:hAnsi="宋体" w:cs="宋体"/>
          <w:color w:val="auto"/>
          <w:sz w:val="28"/>
          <w:szCs w:val="28"/>
          <w:highlight w:val="none"/>
        </w:rPr>
        <w:t>，将按照响应内容进行履约。如我单位响应文件的响应方案优于采购需求，将按响应文件履约。</w:t>
      </w:r>
    </w:p>
    <w:p>
      <w:pPr>
        <w:pStyle w:val="700"/>
        <w:spacing w:before="10" w:after="10" w:line="600" w:lineRule="exact"/>
        <w:rPr>
          <w:rFonts w:ascii="宋体" w:hAnsi="宋体" w:cs="宋体"/>
          <w:color w:val="auto"/>
          <w:sz w:val="28"/>
          <w:szCs w:val="28"/>
          <w:highlight w:val="none"/>
        </w:rPr>
      </w:pPr>
    </w:p>
    <w:p>
      <w:pPr>
        <w:pStyle w:val="700"/>
        <w:spacing w:after="200" w:line="500" w:lineRule="exact"/>
        <w:rPr>
          <w:rFonts w:ascii="宋体" w:hAnsi="宋体" w:cs="宋体"/>
          <w:color w:val="auto"/>
          <w:sz w:val="28"/>
          <w:szCs w:val="28"/>
          <w:highlight w:val="none"/>
        </w:rPr>
      </w:pPr>
    </w:p>
    <w:p>
      <w:pPr>
        <w:pBdr>
          <w:top w:val="none" w:color="000000" w:sz="0" w:space="0"/>
          <w:left w:val="none" w:color="000000" w:sz="0" w:space="0"/>
          <w:bottom w:val="none" w:color="000000" w:sz="0" w:space="0"/>
          <w:right w:val="none" w:color="000000" w:sz="0" w:space="0"/>
        </w:pBdr>
        <w:spacing w:line="500" w:lineRule="exact"/>
        <w:ind w:firstLine="4779"/>
        <w:rPr>
          <w:rFonts w:ascii="宋体" w:hAnsi="宋体" w:cs="宋体"/>
          <w:color w:val="auto"/>
          <w:sz w:val="40"/>
          <w:highlight w:val="none"/>
        </w:rPr>
      </w:pPr>
      <w:r>
        <w:rPr>
          <w:rFonts w:hint="eastAsia" w:ascii="宋体" w:hAnsi="宋体" w:cs="宋体"/>
          <w:color w:val="auto"/>
          <w:sz w:val="28"/>
          <w:highlight w:val="none"/>
        </w:rPr>
        <w:t>单位名称（盖CA电子公章）：</w:t>
      </w:r>
    </w:p>
    <w:p>
      <w:pPr>
        <w:pStyle w:val="701"/>
        <w:spacing w:after="200" w:line="220" w:lineRule="atLeast"/>
        <w:jc w:val="center"/>
        <w:rPr>
          <w:rFonts w:ascii="宋体" w:hAnsi="宋体" w:eastAsia="宋体" w:cs="宋体"/>
          <w:color w:val="auto"/>
          <w:sz w:val="40"/>
          <w:szCs w:val="22"/>
          <w:highlight w:val="none"/>
        </w:rPr>
      </w:pPr>
    </w:p>
    <w:bookmarkEnd w:id="128"/>
    <w:p>
      <w:pPr>
        <w:pStyle w:val="701"/>
        <w:spacing w:after="200" w:line="220" w:lineRule="atLeast"/>
        <w:jc w:val="center"/>
        <w:rPr>
          <w:rFonts w:ascii="宋体" w:hAnsi="宋体" w:eastAsia="宋体" w:cs="宋体"/>
          <w:color w:val="auto"/>
          <w:sz w:val="40"/>
          <w:szCs w:val="22"/>
          <w:highlight w:val="none"/>
        </w:rPr>
      </w:pPr>
    </w:p>
    <w:p>
      <w:pPr>
        <w:pStyle w:val="701"/>
        <w:spacing w:after="200" w:line="220" w:lineRule="atLeast"/>
        <w:jc w:val="center"/>
        <w:rPr>
          <w:rFonts w:ascii="宋体" w:hAnsi="宋体" w:eastAsia="宋体" w:cs="宋体"/>
          <w:color w:val="auto"/>
          <w:sz w:val="40"/>
          <w:szCs w:val="22"/>
          <w:highlight w:val="none"/>
        </w:rPr>
      </w:pPr>
    </w:p>
    <w:p>
      <w:pPr>
        <w:pStyle w:val="701"/>
        <w:spacing w:after="200" w:line="220" w:lineRule="atLeast"/>
        <w:jc w:val="center"/>
        <w:rPr>
          <w:rFonts w:ascii="宋体" w:hAnsi="宋体" w:eastAsia="宋体" w:cs="宋体"/>
          <w:color w:val="auto"/>
          <w:sz w:val="40"/>
          <w:szCs w:val="22"/>
          <w:highlight w:val="none"/>
        </w:rPr>
      </w:pPr>
    </w:p>
    <w:p>
      <w:pPr>
        <w:pStyle w:val="701"/>
        <w:spacing w:after="200" w:line="220" w:lineRule="atLeast"/>
        <w:jc w:val="center"/>
        <w:rPr>
          <w:rFonts w:ascii="宋体" w:hAnsi="宋体" w:eastAsia="宋体" w:cs="宋体"/>
          <w:color w:val="auto"/>
          <w:sz w:val="40"/>
          <w:szCs w:val="22"/>
          <w:highlight w:val="none"/>
        </w:rPr>
      </w:pPr>
    </w:p>
    <w:p>
      <w:pPr>
        <w:pStyle w:val="700"/>
        <w:spacing w:after="200" w:line="500" w:lineRule="exact"/>
        <w:rPr>
          <w:rFonts w:ascii="宋体" w:hAnsi="宋体" w:cs="宋体"/>
          <w:color w:val="auto"/>
          <w:sz w:val="28"/>
          <w:szCs w:val="28"/>
          <w:highlight w:val="none"/>
        </w:rPr>
      </w:pPr>
    </w:p>
    <w:p>
      <w:pPr>
        <w:pStyle w:val="739"/>
        <w:rPr>
          <w:rFonts w:ascii="宋体" w:hAnsi="宋体" w:eastAsia="宋体" w:cs="宋体"/>
          <w:b w:val="0"/>
          <w:color w:val="auto"/>
          <w:highlight w:val="none"/>
        </w:rPr>
      </w:pPr>
      <w:r>
        <w:rPr>
          <w:rFonts w:hint="eastAsia" w:ascii="宋体" w:hAnsi="宋体" w:eastAsia="宋体" w:cs="宋体"/>
          <w:b w:val="0"/>
          <w:color w:val="auto"/>
          <w:highlight w:val="none"/>
        </w:rPr>
        <w:br w:type="page" w:clear="all"/>
      </w:r>
    </w:p>
    <w:p>
      <w:pPr>
        <w:pStyle w:val="87"/>
        <w:spacing w:before="0" w:after="0" w:line="520" w:lineRule="exact"/>
        <w:rPr>
          <w:rFonts w:ascii="宋体" w:hAnsi="宋体" w:eastAsia="宋体" w:cs="宋体"/>
          <w:color w:val="auto"/>
          <w:sz w:val="32"/>
          <w:szCs w:val="32"/>
          <w:highlight w:val="none"/>
        </w:rPr>
      </w:pPr>
      <w:bookmarkStart w:id="129" w:name="OLE_LINK32"/>
      <w:r>
        <w:rPr>
          <w:rFonts w:hint="eastAsia" w:ascii="宋体" w:hAnsi="宋体" w:eastAsia="宋体" w:cs="宋体"/>
          <w:color w:val="auto"/>
          <w:sz w:val="32"/>
          <w:szCs w:val="32"/>
          <w:highlight w:val="none"/>
        </w:rPr>
        <w:t>十、服务要求承诺（一）及相关服务方案</w:t>
      </w:r>
    </w:p>
    <w:p>
      <w:pPr>
        <w:pStyle w:val="701"/>
        <w:spacing w:after="200" w:line="220" w:lineRule="atLeast"/>
        <w:jc w:val="both"/>
        <w:rPr>
          <w:rFonts w:ascii="宋体" w:hAnsi="宋体" w:eastAsia="宋体" w:cs="宋体"/>
          <w:color w:val="auto"/>
          <w:sz w:val="36"/>
          <w:szCs w:val="21"/>
          <w:highlight w:val="none"/>
        </w:rPr>
      </w:pP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1、服务要求承诺（一）</w:t>
      </w:r>
    </w:p>
    <w:p>
      <w:pPr>
        <w:pStyle w:val="699"/>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采购单位名称</w:t>
      </w:r>
      <w:r>
        <w:rPr>
          <w:rFonts w:hint="eastAsia" w:ascii="宋体" w:hAnsi="宋体" w:cs="宋体"/>
          <w:color w:val="auto"/>
          <w:sz w:val="28"/>
          <w:szCs w:val="28"/>
          <w:highlight w:val="none"/>
          <w:u w:val="single"/>
        </w:rPr>
        <w:t>：</w:t>
      </w:r>
    </w:p>
    <w:p>
      <w:pPr>
        <w:pStyle w:val="740"/>
        <w:spacing w:after="195" w:line="435" w:lineRule="atLeast"/>
        <w:ind w:firstLine="480"/>
        <w:rPr>
          <w:color w:val="auto"/>
          <w:sz w:val="20"/>
          <w:highlight w:val="none"/>
        </w:rPr>
      </w:pPr>
      <w:r>
        <w:rPr>
          <w:rFonts w:hint="eastAsia"/>
          <w:color w:val="auto"/>
          <w:sz w:val="28"/>
          <w:szCs w:val="28"/>
          <w:highlight w:val="none"/>
        </w:rPr>
        <w:t>根据</w:t>
      </w:r>
      <w:r>
        <w:rPr>
          <w:rFonts w:hint="eastAsia" w:cs="宋体"/>
          <w:color w:val="auto"/>
          <w:sz w:val="28"/>
          <w:highlight w:val="none"/>
          <w:u w:val="single"/>
          <w:lang w:eastAsia="zh-CN"/>
        </w:rPr>
        <w:t>JSZC-321311-JZCG-C2026-0004</w:t>
      </w:r>
      <w:r>
        <w:rPr>
          <w:rFonts w:hint="eastAsia" w:cs="宋体"/>
          <w:color w:val="auto"/>
          <w:sz w:val="28"/>
          <w:highlight w:val="none"/>
          <w:u w:val="single"/>
          <w:lang w:val="en-US" w:eastAsia="zh-CN"/>
        </w:rPr>
        <w:t xml:space="preserve">             </w:t>
      </w:r>
      <w:r>
        <w:rPr>
          <w:rFonts w:hint="eastAsia"/>
          <w:color w:val="auto"/>
          <w:sz w:val="28"/>
          <w:highlight w:val="none"/>
        </w:rPr>
        <w:t>号</w:t>
      </w:r>
      <w:r>
        <w:rPr>
          <w:rFonts w:hint="eastAsia"/>
          <w:color w:val="auto"/>
          <w:sz w:val="28"/>
          <w:szCs w:val="28"/>
          <w:highlight w:val="none"/>
          <w:u w:val="single"/>
          <w:lang w:eastAsia="zh-CN"/>
        </w:rPr>
        <w:t>2026年-2027年宿豫区教育局物业服务采购项目</w:t>
      </w:r>
      <w:r>
        <w:rPr>
          <w:rFonts w:hint="eastAsia"/>
          <w:color w:val="auto"/>
          <w:sz w:val="28"/>
          <w:highlight w:val="none"/>
        </w:rPr>
        <w:t>采购文件相关要求，承诺如下：完全响应本项目采购需求“三、服务标准与要求-3.1基本服务”，</w:t>
      </w:r>
      <w:r>
        <w:rPr>
          <w:rFonts w:hint="eastAsia"/>
          <w:color w:val="auto"/>
          <w:sz w:val="28"/>
          <w:highlight w:val="none"/>
          <w:lang w:eastAsia="zh-CN"/>
        </w:rPr>
        <w:t>如我单位中标（成交）</w:t>
      </w:r>
      <w:r>
        <w:rPr>
          <w:rFonts w:hint="eastAsia"/>
          <w:color w:val="auto"/>
          <w:sz w:val="28"/>
          <w:highlight w:val="none"/>
        </w:rPr>
        <w:t>，将按照响应内容进行履约。如我单位响应文件的响应方案优于采购需求，将按响应文件履约。</w:t>
      </w:r>
    </w:p>
    <w:p>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4498"/>
        <w:rPr>
          <w:rFonts w:ascii="宋体" w:hAnsi="宋体" w:cs="宋体"/>
          <w:color w:val="auto"/>
          <w:sz w:val="20"/>
          <w:highlight w:val="none"/>
        </w:rPr>
      </w:pPr>
      <w:r>
        <w:rPr>
          <w:rFonts w:hint="eastAsia" w:ascii="宋体" w:hAnsi="宋体" w:cs="宋体"/>
          <w:color w:val="auto"/>
          <w:sz w:val="28"/>
          <w:highlight w:val="none"/>
        </w:rPr>
        <w:t>单位名称（盖CA电子公章）：</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40"/>
          <w:highlight w:val="none"/>
        </w:rPr>
      </w:pPr>
    </w:p>
    <w:p>
      <w:pPr>
        <w:pStyle w:val="701"/>
        <w:spacing w:line="500" w:lineRule="exact"/>
        <w:jc w:val="both"/>
        <w:rPr>
          <w:rFonts w:hint="eastAsia" w:ascii="宋体" w:hAnsi="宋体" w:eastAsia="宋体" w:cs="宋体"/>
          <w:color w:val="auto"/>
          <w:sz w:val="32"/>
          <w:highlight w:val="none"/>
        </w:rPr>
        <w:sectPr>
          <w:footerReference r:id="rId5" w:type="default"/>
          <w:pgSz w:w="11906" w:h="16838"/>
          <w:pgMar w:top="1440" w:right="1417" w:bottom="1440" w:left="1417" w:header="851" w:footer="992" w:gutter="0"/>
          <w:cols w:space="720" w:num="1"/>
          <w:docGrid w:linePitch="360" w:charSpace="0"/>
        </w:sectPr>
      </w:pP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2、相关服务方案</w:t>
      </w: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（按照评分标准相关要求提供方案）</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20"/>
          <w:highlight w:val="none"/>
        </w:rPr>
      </w:pPr>
    </w:p>
    <w:p>
      <w:pPr>
        <w:rPr>
          <w:rFonts w:ascii="宋体" w:hAnsi="宋体" w:cs="宋体"/>
          <w:color w:val="auto"/>
          <w:sz w:val="40"/>
          <w:highlight w:val="none"/>
        </w:rPr>
      </w:pPr>
      <w:r>
        <w:rPr>
          <w:rFonts w:hint="eastAsia" w:ascii="宋体" w:hAnsi="宋体" w:cs="宋体"/>
          <w:color w:val="auto"/>
          <w:sz w:val="40"/>
          <w:highlight w:val="none"/>
        </w:rPr>
        <w:br w:type="page" w:clear="all"/>
      </w:r>
    </w:p>
    <w:bookmarkEnd w:id="129"/>
    <w:p>
      <w:pPr>
        <w:pStyle w:val="87"/>
        <w:spacing w:before="0" w:after="0" w:line="520" w:lineRule="exact"/>
        <w:rPr>
          <w:rFonts w:ascii="宋体" w:hAnsi="宋体" w:eastAsia="宋体" w:cs="宋体"/>
          <w:color w:val="auto"/>
          <w:sz w:val="32"/>
          <w:szCs w:val="32"/>
          <w:highlight w:val="none"/>
        </w:rPr>
      </w:pPr>
      <w:bookmarkStart w:id="130" w:name="OLE_LINK33"/>
      <w:r>
        <w:rPr>
          <w:rFonts w:hint="eastAsia" w:ascii="宋体" w:hAnsi="宋体" w:eastAsia="宋体" w:cs="宋体"/>
          <w:color w:val="auto"/>
          <w:sz w:val="32"/>
          <w:szCs w:val="32"/>
          <w:highlight w:val="none"/>
        </w:rPr>
        <w:t>十一、服务要求承诺（二）及相关服务方案</w:t>
      </w:r>
    </w:p>
    <w:p>
      <w:pPr>
        <w:pStyle w:val="701"/>
        <w:spacing w:after="200" w:line="220" w:lineRule="atLeast"/>
        <w:jc w:val="both"/>
        <w:rPr>
          <w:rFonts w:ascii="宋体" w:hAnsi="宋体" w:eastAsia="宋体" w:cs="宋体"/>
          <w:color w:val="auto"/>
          <w:sz w:val="36"/>
          <w:szCs w:val="21"/>
          <w:highlight w:val="none"/>
        </w:rPr>
      </w:pP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1、服务要求承诺（二）</w:t>
      </w:r>
    </w:p>
    <w:p>
      <w:pPr>
        <w:pStyle w:val="699"/>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采购单位名称</w:t>
      </w:r>
      <w:r>
        <w:rPr>
          <w:rFonts w:hint="eastAsia" w:ascii="宋体" w:hAnsi="宋体" w:cs="宋体"/>
          <w:color w:val="auto"/>
          <w:sz w:val="28"/>
          <w:szCs w:val="28"/>
          <w:highlight w:val="none"/>
          <w:u w:val="single"/>
        </w:rPr>
        <w:t>：</w:t>
      </w:r>
    </w:p>
    <w:p>
      <w:pPr>
        <w:pStyle w:val="740"/>
        <w:spacing w:after="195" w:line="435" w:lineRule="atLeast"/>
        <w:ind w:firstLine="480"/>
        <w:rPr>
          <w:color w:val="auto"/>
          <w:sz w:val="28"/>
          <w:szCs w:val="28"/>
          <w:highlight w:val="none"/>
        </w:rPr>
      </w:pPr>
      <w:r>
        <w:rPr>
          <w:rFonts w:hint="eastAsia"/>
          <w:color w:val="auto"/>
          <w:sz w:val="28"/>
          <w:szCs w:val="28"/>
          <w:highlight w:val="none"/>
        </w:rPr>
        <w:t>根据</w:t>
      </w:r>
      <w:r>
        <w:rPr>
          <w:rFonts w:hint="eastAsia" w:cs="宋体"/>
          <w:color w:val="auto"/>
          <w:sz w:val="28"/>
          <w:highlight w:val="none"/>
          <w:u w:val="single"/>
          <w:lang w:eastAsia="zh-CN"/>
        </w:rPr>
        <w:t>JSZC-321311-JZCG-C2026-0004</w:t>
      </w:r>
      <w:r>
        <w:rPr>
          <w:rFonts w:hint="eastAsia" w:cs="宋体"/>
          <w:color w:val="auto"/>
          <w:sz w:val="28"/>
          <w:highlight w:val="none"/>
          <w:u w:val="single"/>
          <w:lang w:val="en-US" w:eastAsia="zh-CN"/>
        </w:rPr>
        <w:t xml:space="preserve">            </w:t>
      </w:r>
      <w:r>
        <w:rPr>
          <w:rFonts w:hint="eastAsia"/>
          <w:color w:val="auto"/>
          <w:sz w:val="28"/>
          <w:highlight w:val="none"/>
          <w:u w:val="single"/>
        </w:rPr>
        <w:t xml:space="preserve"> </w:t>
      </w:r>
      <w:r>
        <w:rPr>
          <w:rFonts w:hint="eastAsia"/>
          <w:color w:val="auto"/>
          <w:sz w:val="28"/>
          <w:highlight w:val="none"/>
        </w:rPr>
        <w:t>号</w:t>
      </w:r>
      <w:r>
        <w:rPr>
          <w:rFonts w:hint="eastAsia"/>
          <w:color w:val="auto"/>
          <w:sz w:val="28"/>
          <w:szCs w:val="28"/>
          <w:highlight w:val="none"/>
          <w:u w:val="single"/>
          <w:lang w:eastAsia="zh-CN"/>
        </w:rPr>
        <w:t>2026年-2027年宿豫区教育局物业服务采购项目</w:t>
      </w:r>
      <w:r>
        <w:rPr>
          <w:rFonts w:hint="eastAsia"/>
          <w:color w:val="auto"/>
          <w:sz w:val="28"/>
          <w:szCs w:val="28"/>
          <w:highlight w:val="none"/>
        </w:rPr>
        <w:t>采购文件相关要求，承诺如下：完全响应本项目采购需求“三、服务标准与要求-3.2绿化管养服务和3.3保洁服务”，</w:t>
      </w:r>
      <w:r>
        <w:rPr>
          <w:rFonts w:hint="eastAsia"/>
          <w:color w:val="auto"/>
          <w:sz w:val="28"/>
          <w:szCs w:val="28"/>
          <w:highlight w:val="none"/>
          <w:lang w:eastAsia="zh-CN"/>
        </w:rPr>
        <w:t>如我单位中标（成交）</w:t>
      </w:r>
      <w:r>
        <w:rPr>
          <w:rFonts w:hint="eastAsia"/>
          <w:color w:val="auto"/>
          <w:sz w:val="28"/>
          <w:szCs w:val="28"/>
          <w:highlight w:val="none"/>
        </w:rPr>
        <w:t>，将按照响应内容进行履约。如我单位响应文件的响应方案优于采购需求，将按响应文件履约。</w:t>
      </w: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ascii="宋体" w:hAnsi="宋体" w:cs="宋体"/>
          <w:color w:val="auto"/>
          <w:sz w:val="28"/>
          <w:szCs w:val="28"/>
          <w:highlight w:val="none"/>
        </w:rPr>
      </w:pPr>
      <w:r>
        <w:rPr>
          <w:rFonts w:hint="eastAsia" w:ascii="宋体" w:hAnsi="宋体" w:cs="宋体"/>
          <w:color w:val="auto"/>
          <w:sz w:val="28"/>
          <w:highlight w:val="none"/>
        </w:rPr>
        <w:t>单位名称（盖CA电子公章）</w:t>
      </w:r>
      <w:r>
        <w:rPr>
          <w:rFonts w:hint="eastAsia" w:ascii="宋体" w:hAnsi="宋体" w:cs="宋体"/>
          <w:color w:val="auto"/>
          <w:sz w:val="28"/>
          <w:szCs w:val="28"/>
          <w:highlight w:val="none"/>
        </w:rPr>
        <w:t>：</w:t>
      </w: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2、相关服务方案</w:t>
      </w: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（按照评分标准相关要求提供方案）</w:t>
      </w:r>
      <w:bookmarkEnd w:id="130"/>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Style w:val="661"/>
        <w:outlineLvl w:val="1"/>
        <w:rPr>
          <w:rFonts w:cs="黑体"/>
          <w:b w:val="0"/>
          <w:color w:val="auto"/>
          <w:highlight w:val="none"/>
        </w:rPr>
      </w:pPr>
    </w:p>
    <w:p>
      <w:pPr>
        <w:pStyle w:val="87"/>
        <w:spacing w:before="0" w:after="0" w:line="520" w:lineRule="exact"/>
        <w:rPr>
          <w:rFonts w:ascii="宋体" w:hAnsi="宋体" w:eastAsia="宋体" w:cs="宋体"/>
          <w:color w:val="auto"/>
          <w:sz w:val="32"/>
          <w:szCs w:val="32"/>
          <w:highlight w:val="none"/>
        </w:rPr>
      </w:pPr>
      <w:bookmarkStart w:id="131" w:name="OLE_LINK34"/>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二</w:t>
      </w:r>
      <w:r>
        <w:rPr>
          <w:rFonts w:hint="eastAsia" w:ascii="宋体" w:hAnsi="宋体" w:eastAsia="宋体" w:cs="宋体"/>
          <w:color w:val="auto"/>
          <w:sz w:val="32"/>
          <w:szCs w:val="32"/>
          <w:highlight w:val="none"/>
        </w:rPr>
        <w:t>、服务要求承诺（</w:t>
      </w: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rPr>
        <w:t>）及相关服务方案</w:t>
      </w:r>
    </w:p>
    <w:p>
      <w:pPr>
        <w:pStyle w:val="701"/>
        <w:spacing w:after="200" w:line="220" w:lineRule="atLeast"/>
        <w:jc w:val="both"/>
        <w:rPr>
          <w:rFonts w:ascii="宋体" w:hAnsi="宋体" w:eastAsia="宋体" w:cs="宋体"/>
          <w:color w:val="auto"/>
          <w:sz w:val="36"/>
          <w:szCs w:val="21"/>
          <w:highlight w:val="none"/>
        </w:rPr>
      </w:pP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1、服务要求承诺（</w:t>
      </w:r>
      <w:r>
        <w:rPr>
          <w:rFonts w:hint="eastAsia" w:ascii="宋体" w:hAnsi="宋体" w:eastAsia="宋体" w:cs="宋体"/>
          <w:color w:val="auto"/>
          <w:sz w:val="30"/>
          <w:szCs w:val="30"/>
          <w:highlight w:val="none"/>
          <w:lang w:val="en-US" w:eastAsia="zh-CN"/>
        </w:rPr>
        <w:t>三</w:t>
      </w:r>
      <w:r>
        <w:rPr>
          <w:rFonts w:hint="eastAsia" w:ascii="宋体" w:hAnsi="宋体" w:eastAsia="宋体" w:cs="宋体"/>
          <w:color w:val="auto"/>
          <w:sz w:val="30"/>
          <w:szCs w:val="30"/>
          <w:highlight w:val="none"/>
        </w:rPr>
        <w:t>）</w:t>
      </w:r>
    </w:p>
    <w:p>
      <w:pPr>
        <w:pStyle w:val="699"/>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采购单位名称</w:t>
      </w:r>
      <w:r>
        <w:rPr>
          <w:rFonts w:hint="eastAsia" w:ascii="宋体" w:hAnsi="宋体" w:cs="宋体"/>
          <w:color w:val="auto"/>
          <w:sz w:val="28"/>
          <w:szCs w:val="28"/>
          <w:highlight w:val="none"/>
          <w:u w:val="single"/>
        </w:rPr>
        <w:t>：</w:t>
      </w:r>
    </w:p>
    <w:p>
      <w:pPr>
        <w:pStyle w:val="740"/>
        <w:spacing w:after="195" w:line="435" w:lineRule="atLeast"/>
        <w:ind w:firstLine="480"/>
        <w:rPr>
          <w:color w:val="auto"/>
          <w:sz w:val="28"/>
          <w:szCs w:val="28"/>
          <w:highlight w:val="none"/>
        </w:rPr>
      </w:pPr>
      <w:r>
        <w:rPr>
          <w:rFonts w:hint="eastAsia"/>
          <w:color w:val="auto"/>
          <w:sz w:val="28"/>
          <w:szCs w:val="28"/>
          <w:highlight w:val="none"/>
        </w:rPr>
        <w:t>根据</w:t>
      </w:r>
      <w:r>
        <w:rPr>
          <w:rFonts w:hint="eastAsia" w:cs="宋体"/>
          <w:color w:val="auto"/>
          <w:sz w:val="28"/>
          <w:highlight w:val="none"/>
          <w:u w:val="single"/>
          <w:lang w:eastAsia="zh-CN"/>
        </w:rPr>
        <w:t>JSZC-321311-JZCG-C2026-0004</w:t>
      </w:r>
      <w:r>
        <w:rPr>
          <w:rFonts w:hint="eastAsia" w:cs="宋体"/>
          <w:color w:val="auto"/>
          <w:sz w:val="28"/>
          <w:highlight w:val="none"/>
          <w:u w:val="single"/>
          <w:lang w:val="en-US" w:eastAsia="zh-CN"/>
        </w:rPr>
        <w:t xml:space="preserve">            </w:t>
      </w:r>
      <w:r>
        <w:rPr>
          <w:rFonts w:hint="eastAsia"/>
          <w:color w:val="auto"/>
          <w:sz w:val="28"/>
          <w:highlight w:val="none"/>
          <w:u w:val="single"/>
        </w:rPr>
        <w:t xml:space="preserve"> </w:t>
      </w:r>
      <w:r>
        <w:rPr>
          <w:rFonts w:hint="eastAsia"/>
          <w:color w:val="auto"/>
          <w:sz w:val="28"/>
          <w:highlight w:val="none"/>
        </w:rPr>
        <w:t>号</w:t>
      </w:r>
      <w:r>
        <w:rPr>
          <w:rFonts w:hint="eastAsia"/>
          <w:color w:val="auto"/>
          <w:sz w:val="28"/>
          <w:szCs w:val="28"/>
          <w:highlight w:val="none"/>
          <w:u w:val="single"/>
          <w:lang w:eastAsia="zh-CN"/>
        </w:rPr>
        <w:t>2026年-2027年宿豫区教育局物业服务采购项目</w:t>
      </w:r>
      <w:r>
        <w:rPr>
          <w:rFonts w:hint="eastAsia"/>
          <w:color w:val="auto"/>
          <w:sz w:val="28"/>
          <w:szCs w:val="28"/>
          <w:highlight w:val="none"/>
        </w:rPr>
        <w:t>采购文件相关要求，承诺如下：完全响应本项目采购需求“三、服务标准与要求-3.4</w:t>
      </w:r>
      <w:r>
        <w:rPr>
          <w:rFonts w:hint="eastAsia"/>
          <w:color w:val="auto"/>
          <w:sz w:val="28"/>
          <w:szCs w:val="28"/>
          <w:highlight w:val="none"/>
          <w:lang w:eastAsia="zh-CN"/>
        </w:rPr>
        <w:t>消控室服务</w:t>
      </w:r>
      <w:r>
        <w:rPr>
          <w:rFonts w:hint="eastAsia"/>
          <w:color w:val="auto"/>
          <w:sz w:val="28"/>
          <w:szCs w:val="28"/>
          <w:highlight w:val="none"/>
        </w:rPr>
        <w:t>”，</w:t>
      </w:r>
      <w:r>
        <w:rPr>
          <w:rFonts w:hint="eastAsia"/>
          <w:color w:val="auto"/>
          <w:sz w:val="28"/>
          <w:szCs w:val="28"/>
          <w:highlight w:val="none"/>
          <w:lang w:eastAsia="zh-CN"/>
        </w:rPr>
        <w:t>如我单位中标（成交）</w:t>
      </w:r>
      <w:r>
        <w:rPr>
          <w:rFonts w:hint="eastAsia"/>
          <w:color w:val="auto"/>
          <w:sz w:val="28"/>
          <w:szCs w:val="28"/>
          <w:highlight w:val="none"/>
        </w:rPr>
        <w:t>，将按照响应内容进行履约。如我单位响应文件的响应方案优于采购需求，将按响应文件履约。</w:t>
      </w: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spacing w:line="500" w:lineRule="exact"/>
        <w:ind w:firstLine="560"/>
        <w:jc w:val="right"/>
        <w:rPr>
          <w:rFonts w:ascii="宋体" w:hAnsi="宋体" w:cs="宋体"/>
          <w:color w:val="auto"/>
          <w:sz w:val="28"/>
          <w:szCs w:val="28"/>
          <w:highlight w:val="none"/>
        </w:rPr>
      </w:pPr>
      <w:r>
        <w:rPr>
          <w:rFonts w:hint="eastAsia" w:ascii="宋体" w:hAnsi="宋体" w:cs="宋体"/>
          <w:color w:val="auto"/>
          <w:sz w:val="28"/>
          <w:highlight w:val="none"/>
        </w:rPr>
        <w:t>单位名称（盖CA电子公章）</w:t>
      </w:r>
      <w:r>
        <w:rPr>
          <w:rFonts w:hint="eastAsia" w:ascii="宋体" w:hAnsi="宋体" w:cs="宋体"/>
          <w:color w:val="auto"/>
          <w:sz w:val="28"/>
          <w:szCs w:val="28"/>
          <w:highlight w:val="none"/>
        </w:rPr>
        <w:t>：</w:t>
      </w:r>
    </w:p>
    <w:p>
      <w:pPr>
        <w:pBdr>
          <w:top w:val="none" w:color="000000" w:sz="0" w:space="0"/>
          <w:left w:val="none" w:color="000000" w:sz="0" w:space="0"/>
          <w:bottom w:val="none" w:color="000000" w:sz="0" w:space="0"/>
          <w:right w:val="none" w:color="000000" w:sz="0" w:space="0"/>
        </w:pBdr>
        <w:rPr>
          <w:rFonts w:ascii="宋体" w:hAnsi="宋体" w:cs="宋体"/>
          <w:color w:val="auto"/>
          <w:sz w:val="28"/>
          <w:szCs w:val="28"/>
          <w:highlight w:val="none"/>
        </w:rPr>
      </w:pPr>
      <w:r>
        <w:rPr>
          <w:rFonts w:hint="eastAsia" w:ascii="宋体" w:hAnsi="宋体" w:cs="宋体"/>
          <w:color w:val="auto"/>
          <w:sz w:val="28"/>
          <w:szCs w:val="28"/>
          <w:highlight w:val="none"/>
        </w:rPr>
        <w:t> </w:t>
      </w:r>
    </w:p>
    <w:p>
      <w:pPr>
        <w:pBdr>
          <w:top w:val="none" w:color="000000" w:sz="0" w:space="0"/>
          <w:left w:val="none" w:color="000000" w:sz="0" w:space="0"/>
          <w:bottom w:val="none" w:color="000000" w:sz="0" w:space="0"/>
          <w:right w:val="none" w:color="000000" w:sz="0" w:space="0"/>
        </w:pBdr>
        <w:rPr>
          <w:rFonts w:ascii="宋体" w:hAnsi="宋体" w:cs="宋体"/>
          <w:color w:val="auto"/>
          <w:sz w:val="28"/>
          <w:szCs w:val="28"/>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r>
        <w:rPr>
          <w:rFonts w:hint="eastAsia" w:ascii="宋体" w:hAnsi="宋体" w:cs="宋体"/>
          <w:color w:val="auto"/>
          <w:sz w:val="30"/>
          <w:szCs w:val="30"/>
          <w:highlight w:val="none"/>
        </w:rPr>
        <w:t>   </w:t>
      </w: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rPr>
          <w:rFonts w:hint="eastAsia" w:ascii="宋体" w:hAnsi="宋体" w:cs="宋体"/>
          <w:color w:val="auto"/>
          <w:sz w:val="30"/>
          <w:szCs w:val="30"/>
          <w:highlight w:val="none"/>
        </w:rPr>
      </w:pP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2、相关服务方案</w:t>
      </w:r>
    </w:p>
    <w:p>
      <w:pPr>
        <w:pStyle w:val="701"/>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（按照评分标准相关要求提供方案）</w:t>
      </w:r>
    </w:p>
    <w:bookmarkEnd w:id="131"/>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Style w:val="87"/>
        <w:spacing w:before="0" w:after="0" w:line="520" w:lineRule="exact"/>
        <w:rPr>
          <w:rFonts w:hint="eastAsia" w:ascii="宋体" w:hAnsi="宋体" w:eastAsia="宋体" w:cs="宋体"/>
          <w:color w:val="auto"/>
          <w:sz w:val="32"/>
          <w:szCs w:val="32"/>
          <w:highlight w:val="none"/>
        </w:rPr>
        <w:sectPr>
          <w:pgSz w:w="11906" w:h="16838"/>
          <w:pgMar w:top="1440" w:right="1417" w:bottom="1440" w:left="1417" w:header="851" w:footer="992" w:gutter="0"/>
          <w:cols w:space="720" w:num="1"/>
          <w:docGrid w:linePitch="360" w:charSpace="0"/>
        </w:sectPr>
      </w:pPr>
    </w:p>
    <w:p>
      <w:pPr>
        <w:pStyle w:val="87"/>
        <w:spacing w:before="0" w:after="0" w:line="520" w:lineRule="exact"/>
        <w:rPr>
          <w:rFonts w:ascii="宋体" w:hAnsi="宋体" w:eastAsia="宋体" w:cs="宋体"/>
          <w:color w:val="auto"/>
          <w:sz w:val="32"/>
          <w:szCs w:val="32"/>
          <w:highlight w:val="none"/>
        </w:rPr>
      </w:pPr>
      <w:bookmarkStart w:id="132" w:name="OLE_LINK35"/>
      <w:r>
        <w:rPr>
          <w:rFonts w:hint="eastAsia" w:ascii="宋体" w:hAnsi="宋体" w:eastAsia="宋体" w:cs="宋体"/>
          <w:color w:val="auto"/>
          <w:sz w:val="32"/>
          <w:szCs w:val="32"/>
          <w:highlight w:val="none"/>
        </w:rPr>
        <w:t>十三、考核标准承诺</w:t>
      </w:r>
    </w:p>
    <w:p>
      <w:pPr>
        <w:pStyle w:val="661"/>
        <w:rPr>
          <w:rFonts w:ascii="宋体" w:hAnsi="宋体" w:eastAsia="宋体" w:cs="宋体"/>
          <w:b w:val="0"/>
          <w:color w:val="auto"/>
          <w:highlight w:val="none"/>
        </w:rPr>
      </w:pPr>
    </w:p>
    <w:p>
      <w:pPr>
        <w:pStyle w:val="701"/>
        <w:spacing w:line="500" w:lineRule="exact"/>
        <w:jc w:val="center"/>
        <w:rPr>
          <w:rFonts w:ascii="宋体" w:hAnsi="宋体" w:eastAsia="宋体" w:cs="宋体"/>
          <w:color w:val="auto"/>
          <w:sz w:val="32"/>
          <w:highlight w:val="none"/>
        </w:rPr>
      </w:pPr>
      <w:r>
        <w:rPr>
          <w:rFonts w:hint="eastAsia" w:ascii="宋体" w:hAnsi="宋体" w:eastAsia="宋体" w:cs="宋体"/>
          <w:color w:val="auto"/>
          <w:sz w:val="32"/>
          <w:highlight w:val="none"/>
        </w:rPr>
        <w:t>考核标准承诺</w:t>
      </w:r>
    </w:p>
    <w:p>
      <w:pPr>
        <w:pBdr>
          <w:top w:val="none" w:color="000000" w:sz="0" w:space="0"/>
          <w:left w:val="none" w:color="000000" w:sz="0" w:space="0"/>
          <w:bottom w:val="none" w:color="000000" w:sz="0" w:space="0"/>
          <w:right w:val="none" w:color="000000" w:sz="0" w:space="0"/>
        </w:pBdr>
        <w:spacing w:line="500" w:lineRule="exact"/>
        <w:rPr>
          <w:rFonts w:ascii="宋体" w:hAnsi="宋体" w:cs="宋体"/>
          <w:color w:val="auto"/>
          <w:sz w:val="28"/>
          <w:highlight w:val="none"/>
        </w:rPr>
      </w:pPr>
    </w:p>
    <w:p>
      <w:pPr>
        <w:pStyle w:val="699"/>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采购单位名称</w:t>
      </w:r>
      <w:r>
        <w:rPr>
          <w:rFonts w:hint="eastAsia" w:ascii="宋体" w:hAnsi="宋体" w:cs="宋体"/>
          <w:color w:val="auto"/>
          <w:sz w:val="28"/>
          <w:szCs w:val="28"/>
          <w:highlight w:val="none"/>
          <w:u w:val="none"/>
        </w:rPr>
        <w:t>：</w:t>
      </w:r>
    </w:p>
    <w:p>
      <w:pPr>
        <w:spacing w:line="480" w:lineRule="exact"/>
        <w:ind w:firstLine="560"/>
        <w:rPr>
          <w:rFonts w:hint="eastAsia" w:ascii="宋体" w:hAnsi="宋体" w:cs="宋体"/>
          <w:color w:val="auto"/>
          <w:sz w:val="28"/>
          <w:highlight w:val="none"/>
        </w:rPr>
      </w:pPr>
      <w:r>
        <w:rPr>
          <w:rFonts w:hint="eastAsia" w:ascii="宋体" w:hAnsi="宋体" w:cs="宋体"/>
          <w:color w:val="auto"/>
          <w:sz w:val="28"/>
          <w:szCs w:val="28"/>
          <w:highlight w:val="none"/>
        </w:rPr>
        <w:t>根据</w:t>
      </w:r>
      <w:r>
        <w:rPr>
          <w:rFonts w:hint="eastAsia" w:ascii="宋体" w:hAnsi="宋体" w:cs="宋体"/>
          <w:color w:val="auto"/>
          <w:sz w:val="28"/>
          <w:highlight w:val="none"/>
          <w:u w:val="single"/>
          <w:lang w:eastAsia="zh-CN"/>
        </w:rPr>
        <w:t>JSZC-321311-JZCG-C2026-0004</w:t>
      </w:r>
      <w:r>
        <w:rPr>
          <w:rFonts w:hint="eastAsia" w:ascii="宋体" w:hAnsi="宋体" w:cs="宋体"/>
          <w:color w:val="auto"/>
          <w:sz w:val="28"/>
          <w:highlight w:val="none"/>
        </w:rPr>
        <w:t>号</w:t>
      </w:r>
      <w:r>
        <w:rPr>
          <w:rFonts w:hint="eastAsia" w:ascii="宋体" w:hAnsi="宋体" w:cs="宋体"/>
          <w:color w:val="auto"/>
          <w:sz w:val="28"/>
          <w:szCs w:val="28"/>
          <w:highlight w:val="none"/>
          <w:u w:val="single"/>
          <w:lang w:eastAsia="zh-CN"/>
        </w:rPr>
        <w:t>2026年-2027年宿豫区教育局物业服务采购项目</w:t>
      </w:r>
      <w:r>
        <w:rPr>
          <w:rFonts w:hint="eastAsia" w:ascii="宋体" w:hAnsi="宋体" w:cs="宋体"/>
          <w:color w:val="auto"/>
          <w:sz w:val="28"/>
          <w:highlight w:val="none"/>
        </w:rPr>
        <w:t>采购文件相关要求，承诺如下：完全响应本项目采购需求“</w:t>
      </w:r>
      <w:r>
        <w:rPr>
          <w:rFonts w:hint="eastAsia" w:ascii="宋体" w:hAnsi="宋体" w:cs="宋体"/>
          <w:color w:val="auto"/>
          <w:sz w:val="28"/>
          <w:highlight w:val="none"/>
          <w:lang w:eastAsia="zh-CN"/>
        </w:rPr>
        <w:t>四、考核标准</w:t>
      </w:r>
      <w:r>
        <w:rPr>
          <w:rFonts w:hint="eastAsia" w:ascii="宋体" w:hAnsi="宋体" w:cs="宋体"/>
          <w:color w:val="auto"/>
          <w:sz w:val="28"/>
          <w:highlight w:val="none"/>
        </w:rPr>
        <w:t>”，</w:t>
      </w:r>
      <w:r>
        <w:rPr>
          <w:rFonts w:hint="eastAsia" w:ascii="宋体" w:hAnsi="宋体" w:cs="宋体"/>
          <w:color w:val="auto"/>
          <w:sz w:val="28"/>
          <w:highlight w:val="none"/>
          <w:lang w:eastAsia="zh-CN"/>
        </w:rPr>
        <w:t>如我单位中标（成交）</w:t>
      </w:r>
      <w:r>
        <w:rPr>
          <w:rFonts w:hint="eastAsia" w:ascii="宋体" w:hAnsi="宋体" w:cs="宋体"/>
          <w:color w:val="auto"/>
          <w:sz w:val="28"/>
          <w:highlight w:val="none"/>
        </w:rPr>
        <w:t>，将按照响应内容进行履约。如我单位响应文件的响应方案优于采购需求，将按响应文件履约。</w:t>
      </w:r>
    </w:p>
    <w:bookmarkEnd w:id="132"/>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spacing w:line="480" w:lineRule="exact"/>
        <w:ind w:firstLine="560"/>
        <w:rPr>
          <w:rFonts w:hint="eastAsia"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jc w:val="right"/>
        <w:rPr>
          <w:rFonts w:ascii="宋体" w:hAnsi="宋体" w:cs="宋体"/>
          <w:color w:val="auto"/>
          <w:sz w:val="32"/>
          <w:highlight w:val="none"/>
        </w:rPr>
      </w:pPr>
      <w:r>
        <w:rPr>
          <w:rFonts w:hint="eastAsia" w:ascii="宋体" w:hAnsi="宋体" w:cs="宋体"/>
          <w:color w:val="auto"/>
          <w:sz w:val="28"/>
          <w:highlight w:val="none"/>
        </w:rPr>
        <w:t>单位名称（盖CA电子公章）：</w:t>
      </w:r>
    </w:p>
    <w:p>
      <w:pPr>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br w:type="page" w:clear="all"/>
      </w:r>
    </w:p>
    <w:bookmarkEnd w:id="126"/>
    <w:p>
      <w:pPr>
        <w:pStyle w:val="87"/>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四</w:t>
      </w:r>
      <w:r>
        <w:rPr>
          <w:rFonts w:hint="eastAsia" w:ascii="宋体" w:hAnsi="宋体" w:eastAsia="宋体" w:cs="宋体"/>
          <w:color w:val="auto"/>
          <w:sz w:val="32"/>
          <w:szCs w:val="32"/>
          <w:highlight w:val="none"/>
        </w:rPr>
        <w:t>、磋商所需其他材料</w:t>
      </w:r>
    </w:p>
    <w:p>
      <w:pPr>
        <w:pStyle w:val="678"/>
        <w:spacing w:line="360" w:lineRule="auto"/>
        <w:ind w:firstLine="560"/>
        <w:rPr>
          <w:rFonts w:ascii="仿宋" w:hAnsi="仿宋" w:cs="仿宋"/>
          <w:color w:val="auto"/>
          <w:sz w:val="28"/>
          <w:szCs w:val="28"/>
          <w:highlight w:val="none"/>
        </w:rPr>
      </w:pPr>
    </w:p>
    <w:p>
      <w:pPr>
        <w:pStyle w:val="678"/>
        <w:spacing w:line="360" w:lineRule="auto"/>
        <w:ind w:firstLine="560"/>
        <w:rPr>
          <w:rFonts w:hint="eastAsia" w:ascii="仿宋" w:hAnsi="仿宋" w:eastAsia="仿宋" w:cs="仿宋"/>
          <w:color w:val="auto"/>
          <w:sz w:val="40"/>
          <w:highlight w:val="none"/>
          <w:lang w:eastAsia="zh-CN"/>
        </w:rPr>
      </w:pPr>
      <w:r>
        <w:rPr>
          <w:rFonts w:hint="eastAsia" w:ascii="仿宋" w:hAnsi="仿宋" w:cs="仿宋"/>
          <w:color w:val="auto"/>
          <w:sz w:val="28"/>
          <w:szCs w:val="28"/>
          <w:highlight w:val="none"/>
        </w:rPr>
        <w:t>请在此文档中增加磋商所需其他相关内容（包括资格要求、评分办法、采购需求中涉及的证件证明及其它供应商认为有必要提供的资料），如没有请将此空文档上传。</w:t>
      </w:r>
    </w:p>
    <w:sectPr>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2312">
    <w:altName w:val="仿宋"/>
    <w:panose1 w:val="02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3"/>
      <w:tabs>
        <w:tab w:val="center" w:pos="4153"/>
        <w:tab w:val="right" w:pos="8306"/>
        <w:tab w:val="clear" w:pos="7143"/>
        <w:tab w:val="clear" w:pos="14287"/>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-140335</wp:posOffset>
              </wp:positionV>
              <wp:extent cx="708660" cy="2717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08660" cy="271780"/>
                      </a:xfrm>
                      <a:prstGeom prst="rect">
                        <a:avLst/>
                      </a:prstGeom>
                      <a:noFill/>
                      <a:ln>
                        <a:noFill/>
                        <a:miter/>
                      </a:ln>
                    </wps:spPr>
                    <wps:txbx>
                      <w:txbxContent>
                        <w:p>
                          <w:pPr>
                            <w:pStyle w:val="103"/>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8</w:t>
                          </w:r>
                          <w:r>
                            <w:rPr>
                              <w:rFonts w:ascii="Times New Roman" w:hAnsi="Times New Roman"/>
                              <w:sz w:val="32"/>
                              <w:szCs w:val="32"/>
                            </w:rPr>
                            <w:fldChar w:fldCharType="end"/>
                          </w:r>
                          <w:r>
                            <w:rPr>
                              <w:rFonts w:ascii="Times New Roman" w:hAnsi="Times New Roman"/>
                              <w:sz w:val="32"/>
                              <w:szCs w:val="32"/>
                            </w:rPr>
                            <w:t>—</w:t>
                          </w:r>
                        </w:p>
                      </w:txbxContent>
                    </wps:txbx>
                    <wps:bodyPr wrap="square" lIns="0" tIns="0" rIns="0" bIns="0" upright="1"/>
                  </wps:wsp>
                </a:graphicData>
              </a:graphic>
            </wp:anchor>
          </w:drawing>
        </mc:Choice>
        <mc:Fallback>
          <w:pict>
            <v:shape id="_x0000_s1026" o:spid="_x0000_s1026" o:spt="202" type="#_x0000_t202" style="position:absolute;left:0pt;margin-top:-11.05pt;height:21.4pt;width:55.8pt;mso-position-horizontal:center;mso-position-horizontal-relative:margin;z-index:251661312;mso-width-relative:page;mso-height-relative:page;" filled="f" stroked="f" coordsize="21600,21600" o:gfxdata="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TifwZ1QAAAAcBAAAPAAAAAAAAAAEAIAAAACIAAABk&#10;cnMvZG93bnJldi54bWxQSwECFAAUAAAACACHTuJA+cewzNABAACXAwAADgAAAAAAAAABACAAAAAk&#10;AQAAZHJzL2Uyb0RvYy54bWxQSwUGAAAAAAYABgBZAQAAZgUAAAAA&#10;">
              <v:fill on="f" focussize="0,0"/>
              <v:stroke on="f" joinstyle="miter"/>
              <v:imagedata o:title=""/>
              <o:lock v:ext="edit" aspectratio="f"/>
              <v:textbox inset="0mm,0mm,0mm,0mm">
                <w:txbxContent>
                  <w:p>
                    <w:pPr>
                      <w:pStyle w:val="103"/>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8</w:t>
                    </w:r>
                    <w:r>
                      <w:rPr>
                        <w:rFonts w:ascii="Times New Roman" w:hAnsi="Times New Roman"/>
                        <w:sz w:val="32"/>
                        <w:szCs w:val="32"/>
                      </w:rPr>
                      <w:fldChar w:fldCharType="end"/>
                    </w:r>
                    <w:r>
                      <w:rPr>
                        <w:rFonts w:ascii="Times New Roman" w:hAnsi="Times New Roman"/>
                        <w:sz w:val="32"/>
                        <w:szCs w:val="32"/>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3"/>
      <w:tabs>
        <w:tab w:val="center" w:pos="4153"/>
        <w:tab w:val="right" w:pos="8306"/>
        <w:tab w:val="clear" w:pos="7143"/>
        <w:tab w:val="clear" w:pos="14287"/>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-140335</wp:posOffset>
              </wp:positionV>
              <wp:extent cx="709930" cy="32004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709930" cy="320040"/>
                      </a:xfrm>
                      <a:prstGeom prst="rect">
                        <a:avLst/>
                      </a:prstGeom>
                      <a:noFill/>
                      <a:ln>
                        <a:noFill/>
                        <a:miter/>
                      </a:ln>
                    </wps:spPr>
                    <wps:txbx>
                      <w:txbxContent>
                        <w:p>
                          <w:pPr>
                            <w:pStyle w:val="103"/>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9</w:t>
                          </w:r>
                          <w:r>
                            <w:rPr>
                              <w:rFonts w:ascii="Times New Roman" w:hAnsi="Times New Roman"/>
                              <w:sz w:val="32"/>
                              <w:szCs w:val="32"/>
                            </w:rPr>
                            <w:fldChar w:fldCharType="end"/>
                          </w:r>
                          <w:r>
                            <w:rPr>
                              <w:rFonts w:ascii="Times New Roman" w:hAnsi="Times New Roman"/>
                              <w:sz w:val="32"/>
                              <w:szCs w:val="32"/>
                            </w:rPr>
                            <w:t>—</w:t>
                          </w:r>
                        </w:p>
                      </w:txbxContent>
                    </wps:txbx>
                    <wps:bodyPr wrap="square" lIns="0" tIns="0" rIns="0" bIns="0" upright="1"/>
                  </wps:wsp>
                </a:graphicData>
              </a:graphic>
            </wp:anchor>
          </w:drawing>
        </mc:Choice>
        <mc:Fallback>
          <w:pict>
            <v:shape id="_x0000_s1026" o:spid="_x0000_s1026" o:spt="202" type="#_x0000_t202" style="position:absolute;left:0pt;margin-top:-11.05pt;height:25.2pt;width:55.9pt;mso-position-horizontal:center;mso-position-horizontal-relative:margin;z-index:251662336;mso-width-relative:page;mso-height-relative:page;" filled="f" stroked="f" coordsize="21600,21600" o:gfxdata="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7ZlBPWAAAABwEAAA8AAAAAAAAAAQAgAAAAIgAA&#10;AGRycy9kb3ducmV2LnhtbFBLAQIUABQAAAAIAIdO4kBtiWrt0QEAAJcDAAAOAAAAAAAAAAEAIAAA&#10;ACUBAABkcnMvZTJvRG9jLnhtbFBLBQYAAAAABgAGAFkBAABoBQAAAAA=&#10;">
              <v:fill on="f" focussize="0,0"/>
              <v:stroke on="f" joinstyle="miter"/>
              <v:imagedata o:title=""/>
              <o:lock v:ext="edit" aspectratio="f"/>
              <v:textbox inset="0mm,0mm,0mm,0mm">
                <w:txbxContent>
                  <w:p>
                    <w:pPr>
                      <w:pStyle w:val="103"/>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9</w:t>
                    </w:r>
                    <w:r>
                      <w:rPr>
                        <w:rFonts w:ascii="Times New Roman" w:hAnsi="Times New Roman"/>
                        <w:sz w:val="32"/>
                        <w:szCs w:val="32"/>
                      </w:rPr>
                      <w:fldChar w:fldCharType="end"/>
                    </w:r>
                    <w:r>
                      <w:rPr>
                        <w:rFonts w:ascii="Times New Roman" w:hAnsi="Times New Roman"/>
                        <w:sz w:val="32"/>
                        <w:szCs w:val="32"/>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3"/>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-140335</wp:posOffset>
              </wp:positionV>
              <wp:extent cx="825500" cy="29591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25500" cy="295910"/>
                      </a:xfrm>
                      <a:prstGeom prst="rect">
                        <a:avLst/>
                      </a:prstGeom>
                      <a:noFill/>
                      <a:ln>
                        <a:noFill/>
                        <a:miter/>
                      </a:ln>
                    </wps:spPr>
                    <wps:txbx>
                      <w:txbxContent>
                        <w:p>
                          <w:pPr>
                            <w:pStyle w:val="103"/>
                            <w:jc w:val="center"/>
                          </w:pPr>
                          <w:r>
                            <w:rPr>
                              <w:rFonts w:ascii="Times New Roman" w:hAnsi="Times New Roman"/>
                              <w:sz w:val="32"/>
                              <w:szCs w:val="36"/>
                            </w:rPr>
                            <w:t>—</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22</w:t>
                          </w:r>
                          <w:r>
                            <w:rPr>
                              <w:rFonts w:ascii="Times New Roman" w:hAnsi="Times New Roman"/>
                              <w:sz w:val="32"/>
                              <w:szCs w:val="36"/>
                            </w:rPr>
                            <w:fldChar w:fldCharType="end"/>
                          </w:r>
                          <w:r>
                            <w:rPr>
                              <w:rFonts w:ascii="Times New Roman" w:hAnsi="Times New Roman"/>
                              <w:sz w:val="32"/>
                              <w:szCs w:val="36"/>
                            </w:rPr>
                            <w:t>—</w:t>
                          </w:r>
                        </w:p>
                      </w:txbxContent>
                    </wps:txbx>
                    <wps:bodyPr wrap="square" lIns="0" tIns="0" rIns="0" bIns="0" upright="1"/>
                  </wps:wsp>
                </a:graphicData>
              </a:graphic>
            </wp:anchor>
          </w:drawing>
        </mc:Choice>
        <mc:Fallback>
          <w:pict>
            <v:shape id="_x0000_s1026" o:spid="_x0000_s1026" o:spt="202" type="#_x0000_t202" style="position:absolute;left:0pt;margin-top:-11.05pt;height:23.3pt;width:65pt;mso-position-horizontal:center;mso-position-horizontal-relative:margin;z-index:251663360;mso-width-relative:page;mso-height-relative:page;" filled="f" stroked="f" coordsize="21600,21600" o:gfxdata="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pdkZY1gAAAAcBAAAPAAAAAAAAAAEAIAAAACIA&#10;AABkcnMvZG93bnJldi54bWxQSwECFAAUAAAACACHTuJATA0ti9IBAACXAwAADgAAAAAAAAABACAA&#10;AAAlAQAAZHJzL2Uyb0RvYy54bWxQSwUGAAAAAAYABgBZAQAAaQUAAAAA&#10;">
              <v:fill on="f" focussize="0,0"/>
              <v:stroke on="f" joinstyle="miter"/>
              <v:imagedata o:title=""/>
              <o:lock v:ext="edit" aspectratio="f"/>
              <v:textbox inset="0mm,0mm,0mm,0mm">
                <w:txbxContent>
                  <w:p>
                    <w:pPr>
                      <w:pStyle w:val="103"/>
                      <w:jc w:val="center"/>
                    </w:pPr>
                    <w:r>
                      <w:rPr>
                        <w:rFonts w:ascii="Times New Roman" w:hAnsi="Times New Roman"/>
                        <w:sz w:val="32"/>
                        <w:szCs w:val="36"/>
                      </w:rPr>
                      <w:t>—</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22</w:t>
                    </w:r>
                    <w:r>
                      <w:rPr>
                        <w:rFonts w:ascii="Times New Roman" w:hAnsi="Times New Roman"/>
                        <w:sz w:val="32"/>
                        <w:szCs w:val="36"/>
                      </w:rPr>
                      <w:fldChar w:fldCharType="end"/>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-104775</wp:posOffset>
              </wp:positionV>
              <wp:extent cx="668020" cy="2667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668020" cy="266700"/>
                      </a:xfrm>
                      <a:prstGeom prst="rect">
                        <a:avLst/>
                      </a:prstGeom>
                      <a:noFill/>
                      <a:ln>
                        <a:noFill/>
                        <a:miter/>
                      </a:ln>
                    </wps:spPr>
                    <wps:txbx>
                      <w:txbxContent>
                        <w:p>
                          <w:pPr>
                            <w:pStyle w:val="103"/>
                            <w:rPr>
                              <w:rFonts w:ascii="Times New Roman" w:hAnsi="Times New Roman"/>
                              <w:sz w:val="32"/>
                              <w:szCs w:val="36"/>
                            </w:rPr>
                          </w:pPr>
                        </w:p>
                      </w:txbxContent>
                    </wps:txbx>
                    <wps:bodyPr wrap="square" lIns="0" tIns="0" rIns="0" bIns="0" upright="1"/>
                  </wps:wsp>
                </a:graphicData>
              </a:graphic>
            </wp:anchor>
          </w:drawing>
        </mc:Choice>
        <mc:Fallback>
          <w:pict>
            <v:shape id="_x0000_s1026" o:spid="_x0000_s1026" o:spt="202" type="#_x0000_t202" style="position:absolute;left:0pt;margin-left:202.6pt;margin-top:-8.25pt;height:21pt;width:52.6pt;mso-position-horizontal-relative:margin;z-index:251659264;mso-width-relative:page;mso-height-relative:page;" filled="f" stroked="f" coordsize="21600,21600" o:gfxdata="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2nFRrZAAAACgEAAA8AAAAAAAAAAQAgAAAA&#10;IgAAAGRycy9kb3ducmV2LnhtbFBLAQIUABQAAAAIAIdO4kC0xv1E0QEAAJcDAAAOAAAAAAAAAAEA&#10;IAAAACgBAABkcnMvZTJvRG9jLnhtbFBLBQYAAAAABgAGAFkBAABrBQAAAAA=&#10;">
              <v:fill on="f" focussize="0,0"/>
              <v:stroke on="f" joinstyle="miter"/>
              <v:imagedata o:title=""/>
              <o:lock v:ext="edit" aspectratio="f"/>
              <v:textbox inset="0mm,0mm,0mm,0mm">
                <w:txbxContent>
                  <w:p>
                    <w:pPr>
                      <w:pStyle w:val="103"/>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ZpPZA0gAAAAUBAAAPAAAAAAAAAAEAIAAAACIAAABkcnMvZG93&#10;bnJldi54bWxQSwECFAAUAAAACACHTuJAbivS/c0BAACZAwAADgAAAAAAAAABACAAAAAhAQAAZHJz&#10;L2Uyb0RvYy54bWxQSwUGAAAAAAYABgBZAQAAYAUAAAAA&#10;">
              <v:fill on="f" focussize="0,0"/>
              <v:stroke on="f" joinstyle="miter"/>
              <v:imagedata o:title=""/>
              <o:lock v:ext="edit" aspectratio="f"/>
              <v:textbox inset="0mm,0mm,0mm,0mm">
                <w:txbxContent>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
      <w:suff w:val="nothing"/>
      <w:lvlText w:val="%1、"/>
      <w:lvlJc w:val="left"/>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53"/>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pStyle w:val="529"/>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54"/>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86C64"/>
    <w:rsid w:val="021C22B9"/>
    <w:rsid w:val="0298677A"/>
    <w:rsid w:val="02A36ACA"/>
    <w:rsid w:val="02CB619B"/>
    <w:rsid w:val="02F456F2"/>
    <w:rsid w:val="03C5281C"/>
    <w:rsid w:val="03D65E8C"/>
    <w:rsid w:val="045315CC"/>
    <w:rsid w:val="04EA1F30"/>
    <w:rsid w:val="055927F5"/>
    <w:rsid w:val="05ED391E"/>
    <w:rsid w:val="07583978"/>
    <w:rsid w:val="08CE3491"/>
    <w:rsid w:val="0AD4136C"/>
    <w:rsid w:val="0BE62A3D"/>
    <w:rsid w:val="0C07794C"/>
    <w:rsid w:val="0C953227"/>
    <w:rsid w:val="0D586685"/>
    <w:rsid w:val="0DEC71E3"/>
    <w:rsid w:val="0ED04B4C"/>
    <w:rsid w:val="0F236ACC"/>
    <w:rsid w:val="0F595A75"/>
    <w:rsid w:val="10A324A7"/>
    <w:rsid w:val="113A2016"/>
    <w:rsid w:val="12772072"/>
    <w:rsid w:val="12BB2CAD"/>
    <w:rsid w:val="13992C84"/>
    <w:rsid w:val="14AA2DE6"/>
    <w:rsid w:val="15B85A45"/>
    <w:rsid w:val="171E7700"/>
    <w:rsid w:val="173B2DEC"/>
    <w:rsid w:val="17963CFF"/>
    <w:rsid w:val="18153CE9"/>
    <w:rsid w:val="19A41A2A"/>
    <w:rsid w:val="19CB67BD"/>
    <w:rsid w:val="19F636A6"/>
    <w:rsid w:val="1A702383"/>
    <w:rsid w:val="1AB676F0"/>
    <w:rsid w:val="1ADC1EDC"/>
    <w:rsid w:val="1B0C34BB"/>
    <w:rsid w:val="1C10729D"/>
    <w:rsid w:val="1CBC0BD7"/>
    <w:rsid w:val="1D002127"/>
    <w:rsid w:val="1DA44D0D"/>
    <w:rsid w:val="1DE57452"/>
    <w:rsid w:val="1E4563BF"/>
    <w:rsid w:val="1F0C7C5E"/>
    <w:rsid w:val="200655ED"/>
    <w:rsid w:val="20337402"/>
    <w:rsid w:val="2037584E"/>
    <w:rsid w:val="2147491C"/>
    <w:rsid w:val="225C3886"/>
    <w:rsid w:val="22AC62A2"/>
    <w:rsid w:val="23636370"/>
    <w:rsid w:val="2536529E"/>
    <w:rsid w:val="255318BB"/>
    <w:rsid w:val="255A0F49"/>
    <w:rsid w:val="27C5069B"/>
    <w:rsid w:val="28812CD5"/>
    <w:rsid w:val="28D71EA9"/>
    <w:rsid w:val="28E51017"/>
    <w:rsid w:val="29C31CD3"/>
    <w:rsid w:val="2A0C4820"/>
    <w:rsid w:val="2A473AAA"/>
    <w:rsid w:val="2A7615AE"/>
    <w:rsid w:val="2B69017C"/>
    <w:rsid w:val="2B8C70CB"/>
    <w:rsid w:val="2B9C3EB4"/>
    <w:rsid w:val="2BDB08C0"/>
    <w:rsid w:val="2CE1054B"/>
    <w:rsid w:val="2DDE11CA"/>
    <w:rsid w:val="2E7A4D72"/>
    <w:rsid w:val="2F7531FC"/>
    <w:rsid w:val="2F7E0C0C"/>
    <w:rsid w:val="2FBB7689"/>
    <w:rsid w:val="303748AC"/>
    <w:rsid w:val="309021A6"/>
    <w:rsid w:val="311B7D97"/>
    <w:rsid w:val="32B47FC9"/>
    <w:rsid w:val="331643B3"/>
    <w:rsid w:val="33247491"/>
    <w:rsid w:val="33D21DA0"/>
    <w:rsid w:val="33F07C3B"/>
    <w:rsid w:val="3490550B"/>
    <w:rsid w:val="368C2D86"/>
    <w:rsid w:val="36AC3612"/>
    <w:rsid w:val="375C2BCF"/>
    <w:rsid w:val="37624025"/>
    <w:rsid w:val="37774FF8"/>
    <w:rsid w:val="37CE47A0"/>
    <w:rsid w:val="39187DDC"/>
    <w:rsid w:val="3A5C2A46"/>
    <w:rsid w:val="3AA446F9"/>
    <w:rsid w:val="3B245E6D"/>
    <w:rsid w:val="3B8303CC"/>
    <w:rsid w:val="3C3A16DA"/>
    <w:rsid w:val="3C536677"/>
    <w:rsid w:val="3CB71902"/>
    <w:rsid w:val="3D0761E4"/>
    <w:rsid w:val="3DF74E08"/>
    <w:rsid w:val="3E5A1693"/>
    <w:rsid w:val="3EA043AF"/>
    <w:rsid w:val="3EFB5137"/>
    <w:rsid w:val="3F255D10"/>
    <w:rsid w:val="3FF0136B"/>
    <w:rsid w:val="3FFB586D"/>
    <w:rsid w:val="405F0AAA"/>
    <w:rsid w:val="413A2C8A"/>
    <w:rsid w:val="416F6772"/>
    <w:rsid w:val="4376022F"/>
    <w:rsid w:val="444B37CE"/>
    <w:rsid w:val="4582210E"/>
    <w:rsid w:val="45BC4EF4"/>
    <w:rsid w:val="462E325B"/>
    <w:rsid w:val="466510E8"/>
    <w:rsid w:val="481B5033"/>
    <w:rsid w:val="48345216"/>
    <w:rsid w:val="489B0F01"/>
    <w:rsid w:val="48AB4E20"/>
    <w:rsid w:val="48D013E2"/>
    <w:rsid w:val="4A5B14D9"/>
    <w:rsid w:val="4AB31BD4"/>
    <w:rsid w:val="4C8A7E17"/>
    <w:rsid w:val="4C965F29"/>
    <w:rsid w:val="4C9A1F98"/>
    <w:rsid w:val="4DAE5A6A"/>
    <w:rsid w:val="4E7774BF"/>
    <w:rsid w:val="4E7A2783"/>
    <w:rsid w:val="4EB8621F"/>
    <w:rsid w:val="4F5D0945"/>
    <w:rsid w:val="50E829C8"/>
    <w:rsid w:val="515F481F"/>
    <w:rsid w:val="52125759"/>
    <w:rsid w:val="52237F68"/>
    <w:rsid w:val="525F64EC"/>
    <w:rsid w:val="529312AA"/>
    <w:rsid w:val="530911BA"/>
    <w:rsid w:val="533A686A"/>
    <w:rsid w:val="53BC7A2F"/>
    <w:rsid w:val="54195438"/>
    <w:rsid w:val="545032C1"/>
    <w:rsid w:val="54AA6B53"/>
    <w:rsid w:val="555E343D"/>
    <w:rsid w:val="563F7220"/>
    <w:rsid w:val="56971A90"/>
    <w:rsid w:val="56EC47B8"/>
    <w:rsid w:val="57185C65"/>
    <w:rsid w:val="59BD51B2"/>
    <w:rsid w:val="5AF4391D"/>
    <w:rsid w:val="5B7A5056"/>
    <w:rsid w:val="5C1019A1"/>
    <w:rsid w:val="5E385990"/>
    <w:rsid w:val="5E5709DE"/>
    <w:rsid w:val="5FBF18E0"/>
    <w:rsid w:val="5FC127C4"/>
    <w:rsid w:val="602816AC"/>
    <w:rsid w:val="60EF1092"/>
    <w:rsid w:val="614D4338"/>
    <w:rsid w:val="63252241"/>
    <w:rsid w:val="63FD4E23"/>
    <w:rsid w:val="645A47EE"/>
    <w:rsid w:val="64653E90"/>
    <w:rsid w:val="661C580F"/>
    <w:rsid w:val="66BA242D"/>
    <w:rsid w:val="66D60AC1"/>
    <w:rsid w:val="672C5E6E"/>
    <w:rsid w:val="675A65EF"/>
    <w:rsid w:val="67E97973"/>
    <w:rsid w:val="681F5B3E"/>
    <w:rsid w:val="68B43B4B"/>
    <w:rsid w:val="69E37C4D"/>
    <w:rsid w:val="6AF52D3C"/>
    <w:rsid w:val="6C6F4453"/>
    <w:rsid w:val="6CEB5F3B"/>
    <w:rsid w:val="6DB376E3"/>
    <w:rsid w:val="6DF34F11"/>
    <w:rsid w:val="6E202C47"/>
    <w:rsid w:val="6F634063"/>
    <w:rsid w:val="709F45E1"/>
    <w:rsid w:val="70E84C6C"/>
    <w:rsid w:val="718801FD"/>
    <w:rsid w:val="720A6E64"/>
    <w:rsid w:val="72371080"/>
    <w:rsid w:val="72426225"/>
    <w:rsid w:val="72BE3766"/>
    <w:rsid w:val="734E1EBC"/>
    <w:rsid w:val="73DC498A"/>
    <w:rsid w:val="73EB6E99"/>
    <w:rsid w:val="73F263CB"/>
    <w:rsid w:val="741144D9"/>
    <w:rsid w:val="74A234CB"/>
    <w:rsid w:val="757D5B90"/>
    <w:rsid w:val="76BE7805"/>
    <w:rsid w:val="77820C74"/>
    <w:rsid w:val="77A95874"/>
    <w:rsid w:val="77DD0E46"/>
    <w:rsid w:val="78B84DFC"/>
    <w:rsid w:val="78FA19E0"/>
    <w:rsid w:val="79410472"/>
    <w:rsid w:val="79AB7C48"/>
    <w:rsid w:val="79C74034"/>
    <w:rsid w:val="7A304385"/>
    <w:rsid w:val="7A9B4962"/>
    <w:rsid w:val="7ACB048D"/>
    <w:rsid w:val="7B2777E0"/>
    <w:rsid w:val="7B803EA0"/>
    <w:rsid w:val="7BB560A5"/>
    <w:rsid w:val="7C013085"/>
    <w:rsid w:val="7C1E5798"/>
    <w:rsid w:val="7E3570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正文1"/>
    <w:next w:val="1"/>
    <w:qFormat/>
    <w:uiPriority w:val="0"/>
    <w:pPr>
      <w:widowControl w:val="0"/>
      <w:jc w:val="both"/>
    </w:pPr>
    <w:rPr>
      <w:rFonts w:hint="default" w:ascii="Times New Roman" w:hAnsi="Times New Roman" w:eastAsia="宋体" w:cs="Times New Roman"/>
      <w:szCs w:val="21"/>
      <w:lang w:val="en-US" w:eastAsia="zh-CN" w:bidi="ar-SA"/>
    </w:rPr>
  </w:style>
  <w:style w:type="paragraph" w:styleId="12">
    <w:name w:val="toc 7"/>
    <w:basedOn w:val="1"/>
    <w:next w:val="1"/>
    <w:qFormat/>
    <w:uiPriority w:val="0"/>
    <w:pPr>
      <w:ind w:left="1260"/>
      <w:jc w:val="left"/>
    </w:pPr>
    <w:rPr>
      <w:rFonts w:cs="Calibri"/>
      <w:sz w:val="18"/>
      <w:szCs w:val="18"/>
    </w:rPr>
  </w:style>
  <w:style w:type="paragraph" w:styleId="13">
    <w:name w:val="Normal Indent"/>
    <w:basedOn w:val="1"/>
    <w:qFormat/>
    <w:uiPriority w:val="0"/>
    <w:pPr>
      <w:ind w:firstLine="420"/>
    </w:pPr>
    <w:rPr>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qFormat/>
    <w:uiPriority w:val="1"/>
    <w:pPr>
      <w:ind w:firstLine="600"/>
    </w:pPr>
    <w:rPr>
      <w:rFonts w:ascii="Times New Roman" w:hAnsi="Times New Roman" w:eastAsia="方正仿宋_GBK"/>
      <w:b/>
      <w:bCs/>
      <w:color w:val="FF0000"/>
      <w:sz w:val="30"/>
      <w:szCs w:val="30"/>
    </w:rPr>
  </w:style>
  <w:style w:type="paragraph" w:styleId="17">
    <w:name w:val="Body Text Indent"/>
    <w:basedOn w:val="1"/>
    <w:unhideWhenUsed/>
    <w:qFormat/>
    <w:uiPriority w:val="0"/>
    <w:pPr>
      <w:spacing w:after="120"/>
      <w:ind w:left="420"/>
    </w:pPr>
  </w:style>
  <w:style w:type="paragraph" w:styleId="18">
    <w:name w:val="toc 5"/>
    <w:basedOn w:val="1"/>
    <w:next w:val="1"/>
    <w:qFormat/>
    <w:uiPriority w:val="0"/>
    <w:pPr>
      <w:ind w:left="840"/>
      <w:jc w:val="left"/>
    </w:pPr>
    <w:rPr>
      <w:rFonts w:cs="Calibri"/>
      <w:sz w:val="18"/>
      <w:szCs w:val="18"/>
    </w:rPr>
  </w:style>
  <w:style w:type="paragraph" w:styleId="19">
    <w:name w:val="toc 3"/>
    <w:basedOn w:val="1"/>
    <w:next w:val="1"/>
    <w:qFormat/>
    <w:uiPriority w:val="39"/>
    <w:pPr>
      <w:ind w:left="420"/>
      <w:jc w:val="left"/>
    </w:pPr>
    <w:rPr>
      <w:rFonts w:cs="Calibri"/>
      <w:i/>
      <w:iCs/>
      <w:sz w:val="20"/>
      <w:szCs w:val="20"/>
    </w:rPr>
  </w:style>
  <w:style w:type="paragraph" w:styleId="20">
    <w:name w:val="Plain Text"/>
    <w:basedOn w:val="1"/>
    <w:qFormat/>
    <w:uiPriority w:val="0"/>
    <w:rPr>
      <w:rFonts w:ascii="宋体" w:hAnsi="Courier New" w:cs="Courier New"/>
      <w:szCs w:val="21"/>
    </w:rPr>
  </w:style>
  <w:style w:type="paragraph" w:styleId="21">
    <w:name w:val="toc 8"/>
    <w:basedOn w:val="1"/>
    <w:next w:val="1"/>
    <w:qFormat/>
    <w:uiPriority w:val="0"/>
    <w:pPr>
      <w:ind w:left="1470"/>
      <w:jc w:val="left"/>
    </w:pPr>
    <w:rPr>
      <w:rFonts w:cs="Calibri"/>
      <w:sz w:val="18"/>
      <w:szCs w:val="18"/>
    </w:rPr>
  </w:style>
  <w:style w:type="paragraph" w:styleId="22">
    <w:name w:val="endnote text"/>
    <w:basedOn w:val="1"/>
    <w:semiHidden/>
    <w:unhideWhenUsed/>
    <w:qFormat/>
    <w:uiPriority w:val="99"/>
    <w:rPr>
      <w:sz w:val="20"/>
    </w:rPr>
  </w:style>
  <w:style w:type="paragraph" w:styleId="23">
    <w:name w:val="Balloon Text"/>
    <w:basedOn w:val="1"/>
    <w:link w:val="719"/>
    <w:semiHidden/>
    <w:unhideWhenUsed/>
    <w:qFormat/>
    <w:uiPriority w:val="99"/>
    <w:rPr>
      <w:rFonts w:ascii="宋体"/>
      <w:sz w:val="18"/>
      <w:szCs w:val="18"/>
    </w:rPr>
  </w:style>
  <w:style w:type="paragraph" w:styleId="24">
    <w:name w:val="footer"/>
    <w:basedOn w:val="1"/>
    <w:link w:val="742"/>
    <w:semiHidden/>
    <w:unhideWhenUsed/>
    <w:qFormat/>
    <w:uiPriority w:val="99"/>
    <w:pPr>
      <w:tabs>
        <w:tab w:val="center" w:pos="4153"/>
        <w:tab w:val="right" w:pos="8306"/>
      </w:tabs>
      <w:jc w:val="left"/>
    </w:pPr>
    <w:rPr>
      <w:sz w:val="18"/>
      <w:szCs w:val="18"/>
    </w:rPr>
  </w:style>
  <w:style w:type="paragraph" w:styleId="25">
    <w:name w:val="header"/>
    <w:basedOn w:val="1"/>
    <w:link w:val="741"/>
    <w:semiHidden/>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qFormat/>
    <w:uiPriority w:val="39"/>
    <w:pPr>
      <w:spacing w:before="120" w:after="120"/>
      <w:jc w:val="left"/>
    </w:pPr>
    <w:rPr>
      <w:rFonts w:cs="Calibri"/>
      <w:b/>
      <w:bCs/>
      <w:caps/>
      <w:sz w:val="20"/>
      <w:szCs w:val="20"/>
    </w:rPr>
  </w:style>
  <w:style w:type="paragraph" w:styleId="27">
    <w:name w:val="toc 4"/>
    <w:basedOn w:val="1"/>
    <w:next w:val="1"/>
    <w:qFormat/>
    <w:uiPriority w:val="0"/>
    <w:pPr>
      <w:ind w:left="630"/>
      <w:jc w:val="left"/>
    </w:pPr>
    <w:rPr>
      <w:rFonts w:cs="Calibri"/>
      <w:sz w:val="18"/>
      <w:szCs w:val="18"/>
    </w:r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pPr>
    <w:rPr>
      <w:sz w:val="18"/>
    </w:rPr>
  </w:style>
  <w:style w:type="paragraph" w:styleId="30">
    <w:name w:val="toc 6"/>
    <w:basedOn w:val="1"/>
    <w:next w:val="1"/>
    <w:qFormat/>
    <w:uiPriority w:val="0"/>
    <w:pPr>
      <w:ind w:left="1050"/>
      <w:jc w:val="left"/>
    </w:pPr>
    <w:rPr>
      <w:rFonts w:cs="Calibri"/>
      <w:sz w:val="18"/>
      <w:szCs w:val="18"/>
    </w:rPr>
  </w:style>
  <w:style w:type="paragraph" w:styleId="31">
    <w:name w:val="table of figures"/>
    <w:basedOn w:val="1"/>
    <w:next w:val="1"/>
    <w:unhideWhenUsed/>
    <w:qFormat/>
    <w:uiPriority w:val="99"/>
  </w:style>
  <w:style w:type="paragraph" w:styleId="32">
    <w:name w:val="toc 2"/>
    <w:basedOn w:val="1"/>
    <w:next w:val="1"/>
    <w:qFormat/>
    <w:uiPriority w:val="39"/>
    <w:pPr>
      <w:ind w:left="210"/>
      <w:jc w:val="left"/>
    </w:pPr>
    <w:rPr>
      <w:rFonts w:cs="Calibri"/>
      <w:smallCaps/>
      <w:sz w:val="20"/>
      <w:szCs w:val="20"/>
    </w:rPr>
  </w:style>
  <w:style w:type="paragraph" w:styleId="33">
    <w:name w:val="toc 9"/>
    <w:basedOn w:val="1"/>
    <w:next w:val="1"/>
    <w:qFormat/>
    <w:uiPriority w:val="0"/>
    <w:pPr>
      <w:ind w:left="1680"/>
      <w:jc w:val="left"/>
    </w:pPr>
    <w:rPr>
      <w:rFonts w:cs="Calibri"/>
      <w:sz w:val="18"/>
      <w:szCs w:val="18"/>
    </w:rPr>
  </w:style>
  <w:style w:type="paragraph" w:styleId="34">
    <w:name w:val="Body Text 2"/>
    <w:basedOn w:val="1"/>
    <w:next w:val="16"/>
    <w:qFormat/>
    <w:uiPriority w:val="0"/>
  </w:style>
  <w:style w:type="paragraph" w:styleId="3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table" w:customStyle="1" w:styleId="45">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Heading"/>
    <w:unhideWhenUsed/>
    <w:qFormat/>
    <w:uiPriority w:val="39"/>
    <w:rPr>
      <w:rFonts w:hint="default" w:ascii="Times New Roman" w:hAnsi="Times New Roman" w:eastAsia="宋体" w:cs="Times New Roman"/>
    </w:rPr>
  </w:style>
  <w:style w:type="table" w:customStyle="1" w:styleId="65">
    <w:name w:val="无格式表格 11"/>
    <w:basedOn w:val="6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普通表格11"/>
    <w:unhideWhenUsed/>
    <w:qFormat/>
    <w:uiPriority w:val="99"/>
    <w:tblPr>
      <w:tblCellMar>
        <w:top w:w="0" w:type="dxa"/>
        <w:left w:w="0" w:type="dxa"/>
        <w:bottom w:w="0" w:type="dxa"/>
        <w:right w:w="0" w:type="dxa"/>
      </w:tblCellMar>
    </w:tblPr>
  </w:style>
  <w:style w:type="table" w:customStyle="1" w:styleId="67">
    <w:name w:val="无格式表格 21"/>
    <w:basedOn w:val="6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66"/>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66"/>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66"/>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6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网格表 2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网格表 3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41"/>
    <w:basedOn w:val="6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5 深色1"/>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网格表 6 彩色1"/>
    <w:basedOn w:val="6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网格表 7 彩色1"/>
    <w:basedOn w:val="6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清单表 1 浅色1"/>
    <w:basedOn w:val="66"/>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清单表 21"/>
    <w:basedOn w:val="6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清单表 3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清单表 4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清单表 5 深色1"/>
    <w:basedOn w:val="6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清单表 6 彩色1"/>
    <w:basedOn w:val="66"/>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清单表 7 彩色1"/>
    <w:basedOn w:val="66"/>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5">
    <w:name w:val="TOC 标题1"/>
    <w:unhideWhenUsed/>
    <w:qFormat/>
    <w:uiPriority w:val="39"/>
    <w:rPr>
      <w:rFonts w:hint="default" w:ascii="Times New Roman" w:hAnsi="Times New Roman" w:eastAsia="宋体" w:cs="Times New Roman"/>
      <w:lang w:val="en-US" w:eastAsia="zh-CN" w:bidi="ar-SA"/>
    </w:rPr>
  </w:style>
  <w:style w:type="paragraph" w:customStyle="1" w:styleId="86">
    <w:name w:val="标题 11"/>
    <w:basedOn w:val="1"/>
    <w:next w:val="1"/>
    <w:link w:val="720"/>
    <w:qFormat/>
    <w:uiPriority w:val="9"/>
    <w:pPr>
      <w:keepNext/>
      <w:keepLines/>
      <w:spacing w:before="480" w:after="200"/>
      <w:outlineLvl w:val="0"/>
    </w:pPr>
    <w:rPr>
      <w:rFonts w:ascii="Arial" w:hAnsi="Arial" w:eastAsia="Arial" w:cs="Arial"/>
      <w:sz w:val="40"/>
      <w:szCs w:val="40"/>
    </w:rPr>
  </w:style>
  <w:style w:type="paragraph" w:customStyle="1" w:styleId="87">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88">
    <w:name w:val="标题 31"/>
    <w:basedOn w:val="89"/>
    <w:next w:val="91"/>
    <w:unhideWhenUsed/>
    <w:qFormat/>
    <w:uiPriority w:val="9"/>
    <w:pPr>
      <w:keepNext/>
      <w:keepLines/>
      <w:spacing w:before="320" w:after="200"/>
      <w:outlineLvl w:val="2"/>
    </w:pPr>
    <w:rPr>
      <w:rFonts w:ascii="Arial" w:hAnsi="Arial" w:eastAsia="Arial" w:cs="Arial"/>
      <w:sz w:val="30"/>
      <w:szCs w:val="30"/>
    </w:rPr>
  </w:style>
  <w:style w:type="paragraph" w:customStyle="1" w:styleId="89">
    <w:name w:val="Normal1"/>
    <w:next w:val="90"/>
    <w:qFormat/>
    <w:uiPriority w:val="0"/>
    <w:rPr>
      <w:rFonts w:hint="default" w:ascii="Times New Roman" w:hAnsi="Times New Roman" w:eastAsia="Times New Roman" w:cs="Times New Roman"/>
      <w:sz w:val="24"/>
      <w:szCs w:val="24"/>
      <w:lang w:val="en-US" w:eastAsia="zh-CN" w:bidi="ar-SA"/>
    </w:rPr>
  </w:style>
  <w:style w:type="paragraph" w:customStyle="1" w:styleId="90">
    <w:name w:val="标题 311"/>
    <w:basedOn w:val="1"/>
    <w:next w:val="91"/>
    <w:qFormat/>
    <w:uiPriority w:val="9"/>
    <w:pPr>
      <w:keepNext/>
      <w:keepLines/>
      <w:spacing w:before="320" w:after="200"/>
      <w:outlineLvl w:val="2"/>
    </w:pPr>
    <w:rPr>
      <w:rFonts w:ascii="Arial" w:hAnsi="Arial" w:eastAsia="Arial" w:cs="Arial"/>
      <w:sz w:val="30"/>
      <w:szCs w:val="30"/>
    </w:rPr>
  </w:style>
  <w:style w:type="paragraph" w:customStyle="1" w:styleId="91">
    <w:name w:val="Normal_19"/>
    <w:next w:val="92"/>
    <w:qFormat/>
    <w:uiPriority w:val="0"/>
    <w:rPr>
      <w:rFonts w:hint="default" w:ascii="Times New Roman" w:hAnsi="Times New Roman" w:eastAsia="Times New Roman" w:cs="Times New Roman"/>
      <w:sz w:val="24"/>
      <w:szCs w:val="24"/>
      <w:lang w:val="en-US" w:eastAsia="zh-CN" w:bidi="ar-SA"/>
    </w:rPr>
  </w:style>
  <w:style w:type="paragraph" w:customStyle="1" w:styleId="92">
    <w:name w:val="Normal11"/>
    <w:next w:val="93"/>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3">
    <w:name w:val="Body Text First Indent1"/>
    <w:basedOn w:val="94"/>
    <w:unhideWhenUsed/>
    <w:qFormat/>
    <w:uiPriority w:val="99"/>
    <w:pPr>
      <w:ind w:firstLine="420"/>
    </w:pPr>
  </w:style>
  <w:style w:type="paragraph" w:customStyle="1" w:styleId="94">
    <w:name w:val="Body Text1"/>
    <w:basedOn w:val="95"/>
    <w:unhideWhenUsed/>
    <w:qFormat/>
    <w:uiPriority w:val="99"/>
    <w:pPr>
      <w:spacing w:after="120"/>
    </w:pPr>
  </w:style>
  <w:style w:type="paragraph" w:customStyle="1" w:styleId="95">
    <w:name w:val="Normal12"/>
    <w:next w:val="93"/>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6">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97">
    <w:name w:val="标题 5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98">
    <w:name w:val="标题 61"/>
    <w:basedOn w:val="1"/>
    <w:next w:val="1"/>
    <w:unhideWhenUsed/>
    <w:qFormat/>
    <w:uiPriority w:val="9"/>
    <w:pPr>
      <w:keepNext/>
      <w:keepLines/>
      <w:spacing w:before="320" w:after="200"/>
      <w:outlineLvl w:val="5"/>
    </w:pPr>
    <w:rPr>
      <w:rFonts w:ascii="Arial" w:hAnsi="Arial" w:eastAsia="Arial" w:cs="Arial"/>
      <w:b/>
      <w:bCs/>
      <w:sz w:val="22"/>
    </w:rPr>
  </w:style>
  <w:style w:type="paragraph" w:customStyle="1" w:styleId="99">
    <w:name w:val="标题 71"/>
    <w:basedOn w:val="1"/>
    <w:next w:val="1"/>
    <w:unhideWhenUsed/>
    <w:qFormat/>
    <w:uiPriority w:val="9"/>
    <w:pPr>
      <w:keepNext/>
      <w:keepLines/>
      <w:spacing w:before="320" w:after="200"/>
      <w:outlineLvl w:val="6"/>
    </w:pPr>
    <w:rPr>
      <w:rFonts w:ascii="Arial" w:hAnsi="Arial" w:eastAsia="Arial" w:cs="Arial"/>
      <w:b/>
      <w:bCs/>
      <w:i/>
      <w:iCs/>
      <w:sz w:val="22"/>
    </w:rPr>
  </w:style>
  <w:style w:type="paragraph" w:customStyle="1" w:styleId="100">
    <w:name w:val="标题 81"/>
    <w:basedOn w:val="1"/>
    <w:next w:val="1"/>
    <w:unhideWhenUsed/>
    <w:qFormat/>
    <w:uiPriority w:val="9"/>
    <w:pPr>
      <w:keepNext/>
      <w:keepLines/>
      <w:spacing w:before="320" w:after="200"/>
      <w:outlineLvl w:val="7"/>
    </w:pPr>
    <w:rPr>
      <w:rFonts w:ascii="Arial" w:hAnsi="Arial" w:eastAsia="Arial" w:cs="Arial"/>
      <w:i/>
      <w:iCs/>
      <w:sz w:val="22"/>
    </w:rPr>
  </w:style>
  <w:style w:type="paragraph" w:customStyle="1" w:styleId="101">
    <w:name w:val="标题 91"/>
    <w:basedOn w:val="1"/>
    <w:next w:val="1"/>
    <w:unhideWhenUsed/>
    <w:qFormat/>
    <w:uiPriority w:val="9"/>
    <w:pPr>
      <w:keepNext/>
      <w:keepLines/>
      <w:spacing w:before="320" w:after="200"/>
      <w:outlineLvl w:val="8"/>
    </w:pPr>
    <w:rPr>
      <w:rFonts w:ascii="Arial" w:hAnsi="Arial" w:eastAsia="Arial" w:cs="Arial"/>
      <w:i/>
      <w:iCs/>
      <w:szCs w:val="21"/>
    </w:rPr>
  </w:style>
  <w:style w:type="paragraph" w:customStyle="1" w:styleId="102">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3">
    <w:name w:val="页脚1"/>
    <w:basedOn w:val="1"/>
    <w:unhideWhenUsed/>
    <w:qFormat/>
    <w:uiPriority w:val="99"/>
    <w:pPr>
      <w:tabs>
        <w:tab w:val="center" w:pos="7143"/>
        <w:tab w:val="right" w:pos="14287"/>
      </w:tabs>
    </w:pPr>
  </w:style>
  <w:style w:type="paragraph" w:customStyle="1" w:styleId="104">
    <w:name w:val="页眉1"/>
    <w:basedOn w:val="1"/>
    <w:unhideWhenUsed/>
    <w:qFormat/>
    <w:uiPriority w:val="99"/>
    <w:pPr>
      <w:tabs>
        <w:tab w:val="center" w:pos="7143"/>
        <w:tab w:val="right" w:pos="14287"/>
      </w:tabs>
    </w:pPr>
  </w:style>
  <w:style w:type="paragraph" w:customStyle="1" w:styleId="105">
    <w:name w:val="TOC 标题117"/>
    <w:unhideWhenUsed/>
    <w:qFormat/>
    <w:uiPriority w:val="39"/>
    <w:rPr>
      <w:rFonts w:hint="default" w:ascii="Times New Roman" w:hAnsi="Times New Roman" w:eastAsia="宋体" w:cs="Times New Roman"/>
      <w:lang w:val="en-US" w:eastAsia="zh-CN" w:bidi="ar-SA"/>
    </w:rPr>
  </w:style>
  <w:style w:type="paragraph" w:customStyle="1" w:styleId="106">
    <w:name w:val="TOC 标题116"/>
    <w:unhideWhenUsed/>
    <w:qFormat/>
    <w:uiPriority w:val="39"/>
    <w:rPr>
      <w:rFonts w:hint="default" w:ascii="Times New Roman" w:hAnsi="Times New Roman" w:eastAsia="宋体" w:cs="Times New Roman"/>
      <w:lang w:val="en-US" w:eastAsia="zh-CN" w:bidi="ar-SA"/>
    </w:rPr>
  </w:style>
  <w:style w:type="paragraph" w:customStyle="1" w:styleId="107">
    <w:name w:val="TOC 标题115"/>
    <w:unhideWhenUsed/>
    <w:qFormat/>
    <w:uiPriority w:val="39"/>
    <w:rPr>
      <w:rFonts w:hint="default" w:ascii="Times New Roman" w:hAnsi="Times New Roman" w:eastAsia="宋体" w:cs="Times New Roman"/>
      <w:lang w:val="en-US" w:eastAsia="zh-CN" w:bidi="ar-SA"/>
    </w:rPr>
  </w:style>
  <w:style w:type="paragraph" w:customStyle="1" w:styleId="108">
    <w:name w:val="TOC 标题114"/>
    <w:unhideWhenUsed/>
    <w:qFormat/>
    <w:uiPriority w:val="39"/>
    <w:rPr>
      <w:rFonts w:hint="default" w:ascii="Times New Roman" w:hAnsi="Times New Roman" w:eastAsia="宋体" w:cs="Times New Roman"/>
      <w:lang w:val="en-US" w:eastAsia="zh-CN" w:bidi="ar-SA"/>
    </w:rPr>
  </w:style>
  <w:style w:type="character" w:customStyle="1" w:styleId="109">
    <w:name w:val="标题 1 字符"/>
    <w:link w:val="110"/>
    <w:qFormat/>
    <w:uiPriority w:val="0"/>
    <w:rPr>
      <w:b/>
      <w:sz w:val="44"/>
    </w:rPr>
  </w:style>
  <w:style w:type="paragraph" w:customStyle="1" w:styleId="110">
    <w:name w:val="标题 1111"/>
    <w:basedOn w:val="1"/>
    <w:next w:val="1"/>
    <w:link w:val="109"/>
    <w:qFormat/>
    <w:uiPriority w:val="0"/>
    <w:pPr>
      <w:keepNext/>
      <w:keepLines/>
      <w:spacing w:before="340" w:after="330" w:line="576" w:lineRule="auto"/>
      <w:outlineLvl w:val="0"/>
    </w:pPr>
    <w:rPr>
      <w:rFonts w:ascii="Times New Roman" w:hAnsi="Times New Roman"/>
      <w:b/>
      <w:sz w:val="44"/>
      <w:szCs w:val="20"/>
    </w:rPr>
  </w:style>
  <w:style w:type="character" w:customStyle="1" w:styleId="111">
    <w:name w:val="标题 2 字符"/>
    <w:link w:val="112"/>
    <w:qFormat/>
    <w:uiPriority w:val="0"/>
    <w:rPr>
      <w:rFonts w:ascii="Arial" w:hAnsi="Arial" w:eastAsia="黑体"/>
      <w:b/>
      <w:sz w:val="32"/>
    </w:rPr>
  </w:style>
  <w:style w:type="paragraph" w:customStyle="1" w:styleId="112">
    <w:name w:val="标题 2111"/>
    <w:basedOn w:val="1"/>
    <w:next w:val="1"/>
    <w:link w:val="111"/>
    <w:qFormat/>
    <w:uiPriority w:val="0"/>
    <w:pPr>
      <w:keepNext/>
      <w:keepLines/>
      <w:spacing w:before="260" w:after="260" w:line="413" w:lineRule="auto"/>
      <w:outlineLvl w:val="1"/>
    </w:pPr>
    <w:rPr>
      <w:rFonts w:ascii="Arial" w:hAnsi="Arial" w:eastAsia="黑体"/>
      <w:b/>
      <w:sz w:val="32"/>
      <w:szCs w:val="20"/>
    </w:rPr>
  </w:style>
  <w:style w:type="character" w:customStyle="1" w:styleId="113">
    <w:name w:val="标题 3 字符"/>
    <w:link w:val="114"/>
    <w:qFormat/>
    <w:uiPriority w:val="0"/>
    <w:rPr>
      <w:b/>
      <w:sz w:val="32"/>
    </w:rPr>
  </w:style>
  <w:style w:type="paragraph" w:customStyle="1" w:styleId="114">
    <w:name w:val="标题 3111"/>
    <w:basedOn w:val="1"/>
    <w:next w:val="1"/>
    <w:link w:val="113"/>
    <w:qFormat/>
    <w:uiPriority w:val="0"/>
    <w:pPr>
      <w:keepNext/>
      <w:keepLines/>
      <w:spacing w:before="260" w:after="260" w:line="413" w:lineRule="auto"/>
      <w:outlineLvl w:val="2"/>
    </w:pPr>
    <w:rPr>
      <w:rFonts w:ascii="Times New Roman" w:hAnsi="Times New Roman"/>
      <w:b/>
      <w:sz w:val="32"/>
      <w:szCs w:val="20"/>
    </w:rPr>
  </w:style>
  <w:style w:type="character" w:customStyle="1" w:styleId="115">
    <w:name w:val="标题 4 字符"/>
    <w:link w:val="116"/>
    <w:qFormat/>
    <w:uiPriority w:val="0"/>
    <w:rPr>
      <w:rFonts w:ascii="宋体" w:eastAsia="宋体"/>
      <w:color w:val="800000"/>
      <w:sz w:val="28"/>
      <w:lang w:val="en-US" w:eastAsia="zh-CN" w:bidi="ar-SA"/>
    </w:rPr>
  </w:style>
  <w:style w:type="paragraph" w:customStyle="1" w:styleId="116">
    <w:name w:val="标题 4111"/>
    <w:basedOn w:val="1"/>
    <w:next w:val="1"/>
    <w:link w:val="115"/>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17">
    <w:name w:val="List Paragraph"/>
    <w:basedOn w:val="1"/>
    <w:qFormat/>
    <w:uiPriority w:val="34"/>
    <w:pPr>
      <w:ind w:left="720"/>
      <w:contextualSpacing/>
    </w:pPr>
  </w:style>
  <w:style w:type="paragraph" w:styleId="118">
    <w:name w:val="No Spacing"/>
    <w:qFormat/>
    <w:uiPriority w:val="1"/>
    <w:rPr>
      <w:rFonts w:hint="default" w:ascii="Times New Roman" w:hAnsi="Times New Roman" w:eastAsia="宋体" w:cs="Times New Roman"/>
      <w:lang w:val="en-US" w:eastAsia="zh-CN" w:bidi="ar-SA"/>
    </w:rPr>
  </w:style>
  <w:style w:type="paragraph" w:styleId="119">
    <w:name w:val="Quote"/>
    <w:basedOn w:val="1"/>
    <w:next w:val="1"/>
    <w:qFormat/>
    <w:uiPriority w:val="29"/>
    <w:pPr>
      <w:ind w:left="720" w:right="720"/>
    </w:pPr>
    <w:rPr>
      <w:i/>
    </w:rPr>
  </w:style>
  <w:style w:type="paragraph" w:styleId="12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21">
    <w:name w:val="TOC 标题113"/>
    <w:unhideWhenUsed/>
    <w:qFormat/>
    <w:uiPriority w:val="39"/>
    <w:rPr>
      <w:rFonts w:hint="default" w:ascii="Times New Roman" w:hAnsi="Times New Roman" w:eastAsia="宋体" w:cs="Times New Roman"/>
      <w:lang w:val="en-US" w:eastAsia="zh-CN" w:bidi="ar-SA"/>
    </w:rPr>
  </w:style>
  <w:style w:type="paragraph" w:customStyle="1" w:styleId="122">
    <w:name w:val="标题 111"/>
    <w:basedOn w:val="1"/>
    <w:next w:val="1"/>
    <w:link w:val="131"/>
    <w:qFormat/>
    <w:uiPriority w:val="9"/>
    <w:pPr>
      <w:keepNext/>
      <w:keepLines/>
      <w:spacing w:before="480" w:after="200"/>
      <w:outlineLvl w:val="0"/>
    </w:pPr>
    <w:rPr>
      <w:rFonts w:ascii="Arial" w:hAnsi="Arial" w:eastAsia="Arial" w:cs="Arial"/>
      <w:sz w:val="40"/>
      <w:szCs w:val="40"/>
    </w:rPr>
  </w:style>
  <w:style w:type="paragraph" w:customStyle="1" w:styleId="123">
    <w:name w:val="标题 211"/>
    <w:basedOn w:val="1"/>
    <w:next w:val="1"/>
    <w:qFormat/>
    <w:uiPriority w:val="0"/>
    <w:pPr>
      <w:keepNext/>
      <w:keepLines/>
      <w:spacing w:before="360" w:after="200"/>
      <w:outlineLvl w:val="1"/>
    </w:pPr>
    <w:rPr>
      <w:rFonts w:ascii="Arial" w:hAnsi="Arial" w:eastAsia="Arial" w:cs="Arial"/>
      <w:sz w:val="34"/>
    </w:rPr>
  </w:style>
  <w:style w:type="paragraph" w:customStyle="1" w:styleId="124">
    <w:name w:val="标题 411"/>
    <w:basedOn w:val="1"/>
    <w:next w:val="1"/>
    <w:qFormat/>
    <w:uiPriority w:val="0"/>
    <w:pPr>
      <w:keepNext/>
      <w:keepLines/>
      <w:spacing w:before="320" w:after="200"/>
      <w:outlineLvl w:val="3"/>
    </w:pPr>
    <w:rPr>
      <w:rFonts w:ascii="Arial" w:hAnsi="Arial" w:eastAsia="Arial" w:cs="Arial"/>
      <w:b/>
      <w:bCs/>
      <w:sz w:val="26"/>
      <w:szCs w:val="26"/>
    </w:rPr>
  </w:style>
  <w:style w:type="paragraph" w:customStyle="1" w:styleId="125">
    <w:name w:val="标题 511"/>
    <w:basedOn w:val="1"/>
    <w:next w:val="1"/>
    <w:link w:val="132"/>
    <w:qFormat/>
    <w:uiPriority w:val="9"/>
    <w:pPr>
      <w:keepNext/>
      <w:keepLines/>
      <w:spacing w:before="320" w:after="200"/>
      <w:outlineLvl w:val="4"/>
    </w:pPr>
    <w:rPr>
      <w:rFonts w:ascii="Arial" w:hAnsi="Arial" w:eastAsia="Arial" w:cs="Arial"/>
      <w:b/>
      <w:bCs/>
      <w:sz w:val="24"/>
      <w:szCs w:val="24"/>
    </w:rPr>
  </w:style>
  <w:style w:type="paragraph" w:customStyle="1" w:styleId="126">
    <w:name w:val="标题 611"/>
    <w:basedOn w:val="1"/>
    <w:next w:val="1"/>
    <w:link w:val="133"/>
    <w:qFormat/>
    <w:uiPriority w:val="9"/>
    <w:pPr>
      <w:keepNext/>
      <w:keepLines/>
      <w:spacing w:before="320" w:after="200"/>
      <w:outlineLvl w:val="5"/>
    </w:pPr>
    <w:rPr>
      <w:rFonts w:ascii="Arial" w:hAnsi="Arial" w:eastAsia="Arial" w:cs="Arial"/>
      <w:b/>
      <w:bCs/>
      <w:sz w:val="22"/>
    </w:rPr>
  </w:style>
  <w:style w:type="paragraph" w:customStyle="1" w:styleId="127">
    <w:name w:val="标题 711"/>
    <w:basedOn w:val="1"/>
    <w:next w:val="1"/>
    <w:link w:val="134"/>
    <w:qFormat/>
    <w:uiPriority w:val="9"/>
    <w:pPr>
      <w:keepNext/>
      <w:keepLines/>
      <w:spacing w:before="320" w:after="200"/>
      <w:outlineLvl w:val="6"/>
    </w:pPr>
    <w:rPr>
      <w:rFonts w:ascii="Arial" w:hAnsi="Arial" w:eastAsia="Arial" w:cs="Arial"/>
      <w:b/>
      <w:bCs/>
      <w:i/>
      <w:iCs/>
      <w:sz w:val="22"/>
    </w:rPr>
  </w:style>
  <w:style w:type="paragraph" w:customStyle="1" w:styleId="128">
    <w:name w:val="标题 811"/>
    <w:basedOn w:val="1"/>
    <w:next w:val="1"/>
    <w:link w:val="135"/>
    <w:qFormat/>
    <w:uiPriority w:val="9"/>
    <w:pPr>
      <w:keepNext/>
      <w:keepLines/>
      <w:spacing w:before="320" w:after="200"/>
      <w:outlineLvl w:val="7"/>
    </w:pPr>
    <w:rPr>
      <w:rFonts w:ascii="Arial" w:hAnsi="Arial" w:eastAsia="Arial" w:cs="Arial"/>
      <w:i/>
      <w:iCs/>
      <w:sz w:val="22"/>
    </w:rPr>
  </w:style>
  <w:style w:type="paragraph" w:customStyle="1" w:styleId="129">
    <w:name w:val="标题 911"/>
    <w:basedOn w:val="1"/>
    <w:next w:val="1"/>
    <w:link w:val="136"/>
    <w:qFormat/>
    <w:uiPriority w:val="9"/>
    <w:pPr>
      <w:keepNext/>
      <w:keepLines/>
      <w:spacing w:before="320" w:after="200"/>
      <w:outlineLvl w:val="8"/>
    </w:pPr>
    <w:rPr>
      <w:rFonts w:ascii="Arial" w:hAnsi="Arial" w:eastAsia="Arial" w:cs="Arial"/>
      <w:i/>
      <w:iCs/>
      <w:szCs w:val="21"/>
    </w:rPr>
  </w:style>
  <w:style w:type="character" w:customStyle="1" w:styleId="130">
    <w:name w:val="默认段落字体11"/>
    <w:unhideWhenUsed/>
    <w:qFormat/>
    <w:uiPriority w:val="1"/>
  </w:style>
  <w:style w:type="character" w:customStyle="1" w:styleId="131">
    <w:name w:val="标题 1 字符1"/>
    <w:link w:val="122"/>
    <w:qFormat/>
    <w:uiPriority w:val="9"/>
    <w:rPr>
      <w:rFonts w:ascii="Arial" w:hAnsi="Arial" w:eastAsia="Arial" w:cs="Arial"/>
      <w:sz w:val="40"/>
      <w:szCs w:val="40"/>
    </w:rPr>
  </w:style>
  <w:style w:type="character" w:customStyle="1" w:styleId="132">
    <w:name w:val="标题 5 字符"/>
    <w:link w:val="125"/>
    <w:qFormat/>
    <w:uiPriority w:val="9"/>
    <w:rPr>
      <w:rFonts w:ascii="Arial" w:hAnsi="Arial" w:eastAsia="Arial" w:cs="Arial"/>
      <w:b/>
      <w:bCs/>
      <w:sz w:val="24"/>
      <w:szCs w:val="24"/>
    </w:rPr>
  </w:style>
  <w:style w:type="character" w:customStyle="1" w:styleId="133">
    <w:name w:val="标题 6 字符"/>
    <w:link w:val="126"/>
    <w:qFormat/>
    <w:uiPriority w:val="9"/>
    <w:rPr>
      <w:rFonts w:ascii="Arial" w:hAnsi="Arial" w:eastAsia="Arial" w:cs="Arial"/>
      <w:b/>
      <w:bCs/>
      <w:sz w:val="22"/>
      <w:szCs w:val="22"/>
    </w:rPr>
  </w:style>
  <w:style w:type="character" w:customStyle="1" w:styleId="134">
    <w:name w:val="标题 7 字符"/>
    <w:link w:val="127"/>
    <w:qFormat/>
    <w:uiPriority w:val="9"/>
    <w:rPr>
      <w:rFonts w:ascii="Arial" w:hAnsi="Arial" w:eastAsia="Arial" w:cs="Arial"/>
      <w:b/>
      <w:bCs/>
      <w:i/>
      <w:iCs/>
      <w:sz w:val="22"/>
      <w:szCs w:val="22"/>
    </w:rPr>
  </w:style>
  <w:style w:type="character" w:customStyle="1" w:styleId="135">
    <w:name w:val="标题 8 字符"/>
    <w:link w:val="128"/>
    <w:qFormat/>
    <w:uiPriority w:val="9"/>
    <w:rPr>
      <w:rFonts w:ascii="Arial" w:hAnsi="Arial" w:eastAsia="Arial" w:cs="Arial"/>
      <w:i/>
      <w:iCs/>
      <w:sz w:val="22"/>
      <w:szCs w:val="22"/>
    </w:rPr>
  </w:style>
  <w:style w:type="character" w:customStyle="1" w:styleId="136">
    <w:name w:val="标题 9 字符"/>
    <w:link w:val="129"/>
    <w:qFormat/>
    <w:uiPriority w:val="9"/>
    <w:rPr>
      <w:rFonts w:ascii="Arial" w:hAnsi="Arial" w:eastAsia="Arial" w:cs="Arial"/>
      <w:i/>
      <w:iCs/>
      <w:sz w:val="21"/>
      <w:szCs w:val="21"/>
    </w:rPr>
  </w:style>
  <w:style w:type="paragraph" w:customStyle="1" w:styleId="137">
    <w:name w:val="题注11"/>
    <w:basedOn w:val="1"/>
    <w:next w:val="1"/>
    <w:qFormat/>
    <w:uiPriority w:val="35"/>
    <w:pPr>
      <w:spacing w:line="276" w:lineRule="auto"/>
    </w:pPr>
    <w:rPr>
      <w:b/>
      <w:bCs/>
      <w:color w:val="4F81BD"/>
      <w:sz w:val="18"/>
      <w:szCs w:val="18"/>
    </w:rPr>
  </w:style>
  <w:style w:type="paragraph" w:customStyle="1" w:styleId="138">
    <w:name w:val="正文文本缩进11"/>
    <w:basedOn w:val="1"/>
    <w:link w:val="139"/>
    <w:unhideWhenUsed/>
    <w:qFormat/>
    <w:uiPriority w:val="99"/>
    <w:pPr>
      <w:spacing w:after="120"/>
      <w:ind w:left="420"/>
    </w:pPr>
  </w:style>
  <w:style w:type="character" w:customStyle="1" w:styleId="139">
    <w:name w:val="正文文本缩进 字符"/>
    <w:link w:val="138"/>
    <w:semiHidden/>
    <w:qFormat/>
    <w:uiPriority w:val="99"/>
    <w:rPr>
      <w:rFonts w:ascii="Calibri" w:hAnsi="Calibri"/>
      <w:sz w:val="21"/>
      <w:szCs w:val="22"/>
    </w:rPr>
  </w:style>
  <w:style w:type="paragraph" w:customStyle="1" w:styleId="140">
    <w:name w:val="尾注文本11"/>
    <w:basedOn w:val="1"/>
    <w:link w:val="141"/>
    <w:unhideWhenUsed/>
    <w:qFormat/>
    <w:uiPriority w:val="99"/>
    <w:rPr>
      <w:sz w:val="20"/>
    </w:rPr>
  </w:style>
  <w:style w:type="character" w:customStyle="1" w:styleId="141">
    <w:name w:val="尾注文本 字符"/>
    <w:link w:val="140"/>
    <w:qFormat/>
    <w:uiPriority w:val="99"/>
    <w:rPr>
      <w:sz w:val="20"/>
    </w:rPr>
  </w:style>
  <w:style w:type="paragraph" w:customStyle="1" w:styleId="142">
    <w:name w:val="页脚11"/>
    <w:basedOn w:val="1"/>
    <w:link w:val="143"/>
    <w:unhideWhenUsed/>
    <w:qFormat/>
    <w:uiPriority w:val="99"/>
    <w:pPr>
      <w:tabs>
        <w:tab w:val="center" w:pos="7143"/>
        <w:tab w:val="right" w:pos="14287"/>
      </w:tabs>
    </w:pPr>
  </w:style>
  <w:style w:type="character" w:customStyle="1" w:styleId="143">
    <w:name w:val="页脚 字符"/>
    <w:link w:val="142"/>
    <w:qFormat/>
    <w:uiPriority w:val="99"/>
  </w:style>
  <w:style w:type="paragraph" w:customStyle="1" w:styleId="144">
    <w:name w:val="页眉11"/>
    <w:basedOn w:val="1"/>
    <w:unhideWhenUsed/>
    <w:qFormat/>
    <w:uiPriority w:val="99"/>
    <w:pPr>
      <w:tabs>
        <w:tab w:val="center" w:pos="7143"/>
        <w:tab w:val="right" w:pos="14287"/>
      </w:tabs>
    </w:pPr>
  </w:style>
  <w:style w:type="paragraph" w:customStyle="1" w:styleId="145">
    <w:name w:val="副标题1"/>
    <w:basedOn w:val="1"/>
    <w:next w:val="1"/>
    <w:link w:val="146"/>
    <w:qFormat/>
    <w:uiPriority w:val="11"/>
    <w:pPr>
      <w:spacing w:before="200" w:after="200"/>
    </w:pPr>
    <w:rPr>
      <w:sz w:val="24"/>
      <w:szCs w:val="24"/>
    </w:rPr>
  </w:style>
  <w:style w:type="character" w:customStyle="1" w:styleId="146">
    <w:name w:val="副标题 字符"/>
    <w:link w:val="145"/>
    <w:qFormat/>
    <w:uiPriority w:val="11"/>
    <w:rPr>
      <w:sz w:val="24"/>
      <w:szCs w:val="24"/>
    </w:rPr>
  </w:style>
  <w:style w:type="paragraph" w:customStyle="1" w:styleId="147">
    <w:name w:val="脚注文本11"/>
    <w:basedOn w:val="1"/>
    <w:link w:val="148"/>
    <w:unhideWhenUsed/>
    <w:qFormat/>
    <w:uiPriority w:val="99"/>
    <w:pPr>
      <w:spacing w:after="40"/>
    </w:pPr>
    <w:rPr>
      <w:sz w:val="18"/>
    </w:rPr>
  </w:style>
  <w:style w:type="character" w:customStyle="1" w:styleId="148">
    <w:name w:val="脚注文本 字符"/>
    <w:link w:val="147"/>
    <w:qFormat/>
    <w:uiPriority w:val="99"/>
    <w:rPr>
      <w:sz w:val="18"/>
    </w:rPr>
  </w:style>
  <w:style w:type="paragraph" w:customStyle="1" w:styleId="149">
    <w:name w:val="图表目录12"/>
    <w:basedOn w:val="1"/>
    <w:next w:val="1"/>
    <w:unhideWhenUsed/>
    <w:qFormat/>
    <w:uiPriority w:val="99"/>
  </w:style>
  <w:style w:type="paragraph" w:customStyle="1" w:styleId="150">
    <w:name w:val="普通(网站)11"/>
    <w:basedOn w:val="1"/>
    <w:qFormat/>
    <w:uiPriority w:val="99"/>
    <w:rPr>
      <w:sz w:val="24"/>
    </w:rPr>
  </w:style>
  <w:style w:type="paragraph" w:customStyle="1" w:styleId="151">
    <w:name w:val="标题11"/>
    <w:basedOn w:val="1"/>
    <w:next w:val="1"/>
    <w:link w:val="152"/>
    <w:qFormat/>
    <w:uiPriority w:val="10"/>
    <w:pPr>
      <w:spacing w:before="300" w:after="200"/>
      <w:contextualSpacing/>
    </w:pPr>
    <w:rPr>
      <w:sz w:val="48"/>
      <w:szCs w:val="48"/>
    </w:rPr>
  </w:style>
  <w:style w:type="character" w:customStyle="1" w:styleId="152">
    <w:name w:val="标题 字符"/>
    <w:link w:val="151"/>
    <w:qFormat/>
    <w:uiPriority w:val="10"/>
    <w:rPr>
      <w:sz w:val="48"/>
      <w:szCs w:val="48"/>
    </w:rPr>
  </w:style>
  <w:style w:type="paragraph" w:customStyle="1" w:styleId="153">
    <w:name w:val="正文文本首行缩进 21"/>
    <w:basedOn w:val="138"/>
    <w:qFormat/>
    <w:uiPriority w:val="0"/>
    <w:pPr>
      <w:spacing w:after="0" w:line="360" w:lineRule="auto"/>
      <w:ind w:left="0" w:firstLine="420"/>
    </w:pPr>
    <w:rPr>
      <w:rFonts w:ascii="宋体" w:hAnsi="宋体"/>
      <w:szCs w:val="20"/>
    </w:rPr>
  </w:style>
  <w:style w:type="table" w:customStyle="1" w:styleId="154">
    <w:name w:val="网格型11"/>
    <w:qFormat/>
    <w:uiPriority w:val="59"/>
    <w:tblPr>
      <w:tblCellMar>
        <w:top w:w="0" w:type="dxa"/>
        <w:left w:w="0" w:type="dxa"/>
        <w:bottom w:w="0" w:type="dxa"/>
        <w:right w:w="0" w:type="dxa"/>
      </w:tblCellMar>
    </w:tblPr>
  </w:style>
  <w:style w:type="character" w:customStyle="1" w:styleId="155">
    <w:name w:val="要点11"/>
    <w:qFormat/>
    <w:uiPriority w:val="22"/>
    <w:rPr>
      <w:b/>
      <w:bCs/>
    </w:rPr>
  </w:style>
  <w:style w:type="character" w:customStyle="1" w:styleId="156">
    <w:name w:val="尾注引用11"/>
    <w:unhideWhenUsed/>
    <w:qFormat/>
    <w:uiPriority w:val="99"/>
    <w:rPr>
      <w:vertAlign w:val="superscript"/>
    </w:rPr>
  </w:style>
  <w:style w:type="character" w:customStyle="1" w:styleId="157">
    <w:name w:val="超链接11"/>
    <w:unhideWhenUsed/>
    <w:qFormat/>
    <w:uiPriority w:val="99"/>
    <w:rPr>
      <w:color w:val="0000FF"/>
      <w:u w:val="single"/>
    </w:rPr>
  </w:style>
  <w:style w:type="character" w:customStyle="1" w:styleId="158">
    <w:name w:val="脚注引用11"/>
    <w:unhideWhenUsed/>
    <w:qFormat/>
    <w:uiPriority w:val="99"/>
    <w:rPr>
      <w:vertAlign w:val="superscript"/>
    </w:rPr>
  </w:style>
  <w:style w:type="paragraph" w:customStyle="1" w:styleId="159">
    <w:name w:val="TOC 标题112"/>
    <w:unhideWhenUsed/>
    <w:qFormat/>
    <w:uiPriority w:val="39"/>
    <w:rPr>
      <w:rFonts w:hint="default" w:ascii="Times New Roman" w:hAnsi="Times New Roman" w:eastAsia="宋体" w:cs="Times New Roman"/>
      <w:lang w:val="en-US" w:eastAsia="zh-CN" w:bidi="ar-SA"/>
    </w:rPr>
  </w:style>
  <w:style w:type="character" w:customStyle="1" w:styleId="160">
    <w:name w:val="Heading 1 Char"/>
    <w:qFormat/>
    <w:uiPriority w:val="9"/>
    <w:rPr>
      <w:rFonts w:ascii="Arial" w:hAnsi="Arial" w:eastAsia="Arial" w:cs="Arial"/>
      <w:sz w:val="40"/>
      <w:szCs w:val="40"/>
    </w:rPr>
  </w:style>
  <w:style w:type="character" w:customStyle="1" w:styleId="161">
    <w:name w:val="Heading 5 Char"/>
    <w:qFormat/>
    <w:uiPriority w:val="9"/>
    <w:rPr>
      <w:rFonts w:ascii="Arial" w:hAnsi="Arial" w:eastAsia="Arial" w:cs="Arial"/>
      <w:b/>
      <w:bCs/>
      <w:sz w:val="24"/>
      <w:szCs w:val="24"/>
    </w:rPr>
  </w:style>
  <w:style w:type="character" w:customStyle="1" w:styleId="162">
    <w:name w:val="Heading 6 Char"/>
    <w:qFormat/>
    <w:uiPriority w:val="9"/>
    <w:rPr>
      <w:rFonts w:ascii="Arial" w:hAnsi="Arial" w:eastAsia="Arial" w:cs="Arial"/>
      <w:b/>
      <w:bCs/>
      <w:sz w:val="22"/>
      <w:szCs w:val="22"/>
    </w:rPr>
  </w:style>
  <w:style w:type="character" w:customStyle="1" w:styleId="163">
    <w:name w:val="Heading 7 Char"/>
    <w:qFormat/>
    <w:uiPriority w:val="9"/>
    <w:rPr>
      <w:rFonts w:ascii="Arial" w:hAnsi="Arial" w:eastAsia="Arial" w:cs="Arial"/>
      <w:b/>
      <w:bCs/>
      <w:i/>
      <w:iCs/>
      <w:sz w:val="22"/>
      <w:szCs w:val="22"/>
    </w:rPr>
  </w:style>
  <w:style w:type="character" w:customStyle="1" w:styleId="164">
    <w:name w:val="Heading 8 Char"/>
    <w:qFormat/>
    <w:uiPriority w:val="9"/>
    <w:rPr>
      <w:rFonts w:ascii="Arial" w:hAnsi="Arial" w:eastAsia="Arial" w:cs="Arial"/>
      <w:i/>
      <w:iCs/>
      <w:sz w:val="22"/>
      <w:szCs w:val="22"/>
    </w:rPr>
  </w:style>
  <w:style w:type="character" w:customStyle="1" w:styleId="165">
    <w:name w:val="Heading 9 Char"/>
    <w:qFormat/>
    <w:uiPriority w:val="9"/>
    <w:rPr>
      <w:rFonts w:ascii="Arial" w:hAnsi="Arial" w:eastAsia="Arial" w:cs="Arial"/>
      <w:i/>
      <w:iCs/>
      <w:sz w:val="21"/>
      <w:szCs w:val="21"/>
    </w:rPr>
  </w:style>
  <w:style w:type="character" w:customStyle="1" w:styleId="166">
    <w:name w:val="Title Char"/>
    <w:qFormat/>
    <w:uiPriority w:val="10"/>
    <w:rPr>
      <w:sz w:val="48"/>
      <w:szCs w:val="48"/>
    </w:rPr>
  </w:style>
  <w:style w:type="character" w:customStyle="1" w:styleId="167">
    <w:name w:val="Subtitle Char"/>
    <w:qFormat/>
    <w:uiPriority w:val="11"/>
    <w:rPr>
      <w:sz w:val="24"/>
      <w:szCs w:val="24"/>
    </w:rPr>
  </w:style>
  <w:style w:type="character" w:customStyle="1" w:styleId="168">
    <w:name w:val="Quote Char"/>
    <w:qFormat/>
    <w:uiPriority w:val="29"/>
    <w:rPr>
      <w:i/>
    </w:rPr>
  </w:style>
  <w:style w:type="character" w:customStyle="1" w:styleId="169">
    <w:name w:val="Intense Quote Char"/>
    <w:qFormat/>
    <w:uiPriority w:val="30"/>
    <w:rPr>
      <w:i/>
    </w:rPr>
  </w:style>
  <w:style w:type="character" w:customStyle="1" w:styleId="170">
    <w:name w:val="Caption Char"/>
    <w:qFormat/>
    <w:uiPriority w:val="99"/>
  </w:style>
  <w:style w:type="character" w:customStyle="1" w:styleId="171">
    <w:name w:val="Footnote Text Char"/>
    <w:qFormat/>
    <w:uiPriority w:val="99"/>
    <w:rPr>
      <w:sz w:val="18"/>
    </w:rPr>
  </w:style>
  <w:style w:type="character" w:customStyle="1" w:styleId="172">
    <w:name w:val="Endnote Text Char"/>
    <w:qFormat/>
    <w:uiPriority w:val="99"/>
    <w:rPr>
      <w:sz w:val="20"/>
    </w:rPr>
  </w:style>
  <w:style w:type="paragraph" w:customStyle="1" w:styleId="173">
    <w:name w:val="TOC 标题111"/>
    <w:unhideWhenUsed/>
    <w:qFormat/>
    <w:uiPriority w:val="39"/>
    <w:rPr>
      <w:rFonts w:hint="default" w:ascii="Times New Roman" w:hAnsi="Times New Roman" w:eastAsia="宋体" w:cs="Times New Roman"/>
      <w:lang w:val="en-US" w:eastAsia="zh-CN" w:bidi="ar-SA"/>
    </w:rPr>
  </w:style>
  <w:style w:type="paragraph" w:customStyle="1" w:styleId="174">
    <w:name w:val="无间隔1"/>
    <w:qFormat/>
    <w:uiPriority w:val="1"/>
    <w:rPr>
      <w:rFonts w:hint="default" w:ascii="Times New Roman" w:hAnsi="Times New Roman" w:eastAsia="宋体" w:cs="Times New Roman"/>
      <w:lang w:val="en-US" w:eastAsia="zh-CN" w:bidi="ar-SA"/>
    </w:rPr>
  </w:style>
  <w:style w:type="paragraph" w:customStyle="1" w:styleId="175">
    <w:name w:val="引用1"/>
    <w:basedOn w:val="1"/>
    <w:next w:val="1"/>
    <w:link w:val="176"/>
    <w:qFormat/>
    <w:uiPriority w:val="29"/>
    <w:pPr>
      <w:ind w:left="720" w:right="720"/>
    </w:pPr>
    <w:rPr>
      <w:i/>
    </w:rPr>
  </w:style>
  <w:style w:type="character" w:customStyle="1" w:styleId="176">
    <w:name w:val="引用 字符"/>
    <w:link w:val="175"/>
    <w:qFormat/>
    <w:uiPriority w:val="29"/>
    <w:rPr>
      <w:i/>
    </w:rPr>
  </w:style>
  <w:style w:type="paragraph" w:customStyle="1" w:styleId="177">
    <w:name w:val="明显引用1"/>
    <w:basedOn w:val="1"/>
    <w:next w:val="1"/>
    <w:link w:val="1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8">
    <w:name w:val="明显引用 字符"/>
    <w:link w:val="177"/>
    <w:qFormat/>
    <w:uiPriority w:val="30"/>
    <w:rPr>
      <w:i/>
    </w:rPr>
  </w:style>
  <w:style w:type="table" w:customStyle="1" w:styleId="179">
    <w:name w:val="Table Grid Light"/>
    <w:qFormat/>
    <w:uiPriority w:val="59"/>
    <w:tblPr>
      <w:tblCellMar>
        <w:top w:w="0" w:type="dxa"/>
        <w:left w:w="0" w:type="dxa"/>
        <w:bottom w:w="0" w:type="dxa"/>
        <w:right w:w="0" w:type="dxa"/>
      </w:tblCellMar>
    </w:tblPr>
  </w:style>
  <w:style w:type="table" w:customStyle="1" w:styleId="180">
    <w:name w:val="Grid Table 1 Light - Accent 1"/>
    <w:qFormat/>
    <w:uiPriority w:val="99"/>
    <w:tblPr>
      <w:tblCellMar>
        <w:top w:w="0" w:type="dxa"/>
        <w:left w:w="0" w:type="dxa"/>
        <w:bottom w:w="0" w:type="dxa"/>
        <w:right w:w="0" w:type="dxa"/>
      </w:tblCellMar>
    </w:tblPr>
  </w:style>
  <w:style w:type="table" w:customStyle="1" w:styleId="181">
    <w:name w:val="Grid Table 1 Light - Accent 2"/>
    <w:qFormat/>
    <w:uiPriority w:val="99"/>
    <w:tblPr>
      <w:tblCellMar>
        <w:top w:w="0" w:type="dxa"/>
        <w:left w:w="0" w:type="dxa"/>
        <w:bottom w:w="0" w:type="dxa"/>
        <w:right w:w="0" w:type="dxa"/>
      </w:tblCellMar>
    </w:tblPr>
  </w:style>
  <w:style w:type="table" w:customStyle="1" w:styleId="182">
    <w:name w:val="Grid Table 1 Light - Accent 3"/>
    <w:qFormat/>
    <w:uiPriority w:val="99"/>
    <w:tblPr>
      <w:tblCellMar>
        <w:top w:w="0" w:type="dxa"/>
        <w:left w:w="0" w:type="dxa"/>
        <w:bottom w:w="0" w:type="dxa"/>
        <w:right w:w="0" w:type="dxa"/>
      </w:tblCellMar>
    </w:tblPr>
  </w:style>
  <w:style w:type="table" w:customStyle="1" w:styleId="183">
    <w:name w:val="Grid Table 1 Light - Accent 4"/>
    <w:qFormat/>
    <w:uiPriority w:val="99"/>
    <w:tblPr>
      <w:tblCellMar>
        <w:top w:w="0" w:type="dxa"/>
        <w:left w:w="0" w:type="dxa"/>
        <w:bottom w:w="0" w:type="dxa"/>
        <w:right w:w="0" w:type="dxa"/>
      </w:tblCellMar>
    </w:tblPr>
  </w:style>
  <w:style w:type="table" w:customStyle="1" w:styleId="184">
    <w:name w:val="Grid Table 1 Light - Accent 5"/>
    <w:qFormat/>
    <w:uiPriority w:val="99"/>
    <w:tblPr>
      <w:tblCellMar>
        <w:top w:w="0" w:type="dxa"/>
        <w:left w:w="0" w:type="dxa"/>
        <w:bottom w:w="0" w:type="dxa"/>
        <w:right w:w="0" w:type="dxa"/>
      </w:tblCellMar>
    </w:tblPr>
  </w:style>
  <w:style w:type="table" w:customStyle="1" w:styleId="185">
    <w:name w:val="Grid Table 1 Light - Accent 6"/>
    <w:qFormat/>
    <w:uiPriority w:val="99"/>
    <w:tblPr>
      <w:tblCellMar>
        <w:top w:w="0" w:type="dxa"/>
        <w:left w:w="0" w:type="dxa"/>
        <w:bottom w:w="0" w:type="dxa"/>
        <w:right w:w="0" w:type="dxa"/>
      </w:tblCellMar>
    </w:tblPr>
  </w:style>
  <w:style w:type="table" w:customStyle="1" w:styleId="186">
    <w:name w:val="Grid Table 2 - Accent 1"/>
    <w:qFormat/>
    <w:uiPriority w:val="99"/>
    <w:tblPr>
      <w:tblCellMar>
        <w:top w:w="0" w:type="dxa"/>
        <w:left w:w="0" w:type="dxa"/>
        <w:bottom w:w="0" w:type="dxa"/>
        <w:right w:w="0" w:type="dxa"/>
      </w:tblCellMar>
    </w:tblPr>
  </w:style>
  <w:style w:type="table" w:customStyle="1" w:styleId="187">
    <w:name w:val="Grid Table 2 - Accent 2"/>
    <w:qFormat/>
    <w:uiPriority w:val="99"/>
    <w:tblPr>
      <w:tblCellMar>
        <w:top w:w="0" w:type="dxa"/>
        <w:left w:w="0" w:type="dxa"/>
        <w:bottom w:w="0" w:type="dxa"/>
        <w:right w:w="0" w:type="dxa"/>
      </w:tblCellMar>
    </w:tblPr>
  </w:style>
  <w:style w:type="table" w:customStyle="1" w:styleId="188">
    <w:name w:val="Grid Table 2 - Accent 3"/>
    <w:qFormat/>
    <w:uiPriority w:val="99"/>
    <w:tblPr>
      <w:tblCellMar>
        <w:top w:w="0" w:type="dxa"/>
        <w:left w:w="0" w:type="dxa"/>
        <w:bottom w:w="0" w:type="dxa"/>
        <w:right w:w="0" w:type="dxa"/>
      </w:tblCellMar>
    </w:tblPr>
  </w:style>
  <w:style w:type="table" w:customStyle="1" w:styleId="189">
    <w:name w:val="Grid Table 2 - Accent 4"/>
    <w:qFormat/>
    <w:uiPriority w:val="99"/>
    <w:tblPr>
      <w:tblCellMar>
        <w:top w:w="0" w:type="dxa"/>
        <w:left w:w="0" w:type="dxa"/>
        <w:bottom w:w="0" w:type="dxa"/>
        <w:right w:w="0" w:type="dxa"/>
      </w:tblCellMar>
    </w:tblPr>
  </w:style>
  <w:style w:type="table" w:customStyle="1" w:styleId="190">
    <w:name w:val="Grid Table 2 - Accent 5"/>
    <w:qFormat/>
    <w:uiPriority w:val="99"/>
    <w:tblPr>
      <w:tblCellMar>
        <w:top w:w="0" w:type="dxa"/>
        <w:left w:w="0" w:type="dxa"/>
        <w:bottom w:w="0" w:type="dxa"/>
        <w:right w:w="0" w:type="dxa"/>
      </w:tblCellMar>
    </w:tblPr>
  </w:style>
  <w:style w:type="table" w:customStyle="1" w:styleId="191">
    <w:name w:val="Grid Table 2 - Accent 6"/>
    <w:qFormat/>
    <w:uiPriority w:val="99"/>
    <w:tblPr>
      <w:tblCellMar>
        <w:top w:w="0" w:type="dxa"/>
        <w:left w:w="0" w:type="dxa"/>
        <w:bottom w:w="0" w:type="dxa"/>
        <w:right w:w="0" w:type="dxa"/>
      </w:tblCellMar>
    </w:tblPr>
  </w:style>
  <w:style w:type="table" w:customStyle="1" w:styleId="192">
    <w:name w:val="Grid Table 3 - Accent 1"/>
    <w:qFormat/>
    <w:uiPriority w:val="99"/>
    <w:tblPr>
      <w:tblCellMar>
        <w:top w:w="0" w:type="dxa"/>
        <w:left w:w="0" w:type="dxa"/>
        <w:bottom w:w="0" w:type="dxa"/>
        <w:right w:w="0" w:type="dxa"/>
      </w:tblCellMar>
    </w:tblPr>
  </w:style>
  <w:style w:type="table" w:customStyle="1" w:styleId="193">
    <w:name w:val="Grid Table 3 - Accent 2"/>
    <w:qFormat/>
    <w:uiPriority w:val="99"/>
    <w:tblPr>
      <w:tblCellMar>
        <w:top w:w="0" w:type="dxa"/>
        <w:left w:w="0" w:type="dxa"/>
        <w:bottom w:w="0" w:type="dxa"/>
        <w:right w:w="0" w:type="dxa"/>
      </w:tblCellMar>
    </w:tblPr>
  </w:style>
  <w:style w:type="table" w:customStyle="1" w:styleId="194">
    <w:name w:val="Grid Table 3 - Accent 3"/>
    <w:qFormat/>
    <w:uiPriority w:val="99"/>
    <w:tblPr>
      <w:tblCellMar>
        <w:top w:w="0" w:type="dxa"/>
        <w:left w:w="0" w:type="dxa"/>
        <w:bottom w:w="0" w:type="dxa"/>
        <w:right w:w="0" w:type="dxa"/>
      </w:tblCellMar>
    </w:tblPr>
  </w:style>
  <w:style w:type="table" w:customStyle="1" w:styleId="195">
    <w:name w:val="Grid Table 3 - Accent 4"/>
    <w:qFormat/>
    <w:uiPriority w:val="99"/>
    <w:tblPr>
      <w:tblCellMar>
        <w:top w:w="0" w:type="dxa"/>
        <w:left w:w="0" w:type="dxa"/>
        <w:bottom w:w="0" w:type="dxa"/>
        <w:right w:w="0" w:type="dxa"/>
      </w:tblCellMar>
    </w:tblPr>
  </w:style>
  <w:style w:type="table" w:customStyle="1" w:styleId="196">
    <w:name w:val="Grid Table 3 - Accent 5"/>
    <w:qFormat/>
    <w:uiPriority w:val="99"/>
    <w:tblPr>
      <w:tblCellMar>
        <w:top w:w="0" w:type="dxa"/>
        <w:left w:w="0" w:type="dxa"/>
        <w:bottom w:w="0" w:type="dxa"/>
        <w:right w:w="0" w:type="dxa"/>
      </w:tblCellMar>
    </w:tblPr>
  </w:style>
  <w:style w:type="table" w:customStyle="1" w:styleId="197">
    <w:name w:val="Grid Table 3 - Accent 6"/>
    <w:qFormat/>
    <w:uiPriority w:val="99"/>
    <w:tblPr>
      <w:tblCellMar>
        <w:top w:w="0" w:type="dxa"/>
        <w:left w:w="0" w:type="dxa"/>
        <w:bottom w:w="0" w:type="dxa"/>
        <w:right w:w="0" w:type="dxa"/>
      </w:tblCellMar>
    </w:tblPr>
  </w:style>
  <w:style w:type="table" w:customStyle="1" w:styleId="198">
    <w:name w:val="Grid Table 4 - Accent 1"/>
    <w:qFormat/>
    <w:uiPriority w:val="59"/>
    <w:tblPr>
      <w:tblCellMar>
        <w:top w:w="0" w:type="dxa"/>
        <w:left w:w="0" w:type="dxa"/>
        <w:bottom w:w="0" w:type="dxa"/>
        <w:right w:w="0" w:type="dxa"/>
      </w:tblCellMar>
    </w:tblPr>
  </w:style>
  <w:style w:type="table" w:customStyle="1" w:styleId="199">
    <w:name w:val="Grid Table 4 - Accent 2"/>
    <w:qFormat/>
    <w:uiPriority w:val="59"/>
    <w:tblPr>
      <w:tblCellMar>
        <w:top w:w="0" w:type="dxa"/>
        <w:left w:w="0" w:type="dxa"/>
        <w:bottom w:w="0" w:type="dxa"/>
        <w:right w:w="0" w:type="dxa"/>
      </w:tblCellMar>
    </w:tblPr>
  </w:style>
  <w:style w:type="table" w:customStyle="1" w:styleId="200">
    <w:name w:val="Grid Table 4 - Accent 3"/>
    <w:qFormat/>
    <w:uiPriority w:val="59"/>
    <w:tblPr>
      <w:tblCellMar>
        <w:top w:w="0" w:type="dxa"/>
        <w:left w:w="0" w:type="dxa"/>
        <w:bottom w:w="0" w:type="dxa"/>
        <w:right w:w="0" w:type="dxa"/>
      </w:tblCellMar>
    </w:tblPr>
  </w:style>
  <w:style w:type="table" w:customStyle="1" w:styleId="201">
    <w:name w:val="Grid Table 4 - Accent 4"/>
    <w:qFormat/>
    <w:uiPriority w:val="59"/>
    <w:tblPr>
      <w:tblCellMar>
        <w:top w:w="0" w:type="dxa"/>
        <w:left w:w="0" w:type="dxa"/>
        <w:bottom w:w="0" w:type="dxa"/>
        <w:right w:w="0" w:type="dxa"/>
      </w:tblCellMar>
    </w:tblPr>
  </w:style>
  <w:style w:type="table" w:customStyle="1" w:styleId="202">
    <w:name w:val="Grid Table 4 - Accent 5"/>
    <w:qFormat/>
    <w:uiPriority w:val="59"/>
    <w:tblPr>
      <w:tblCellMar>
        <w:top w:w="0" w:type="dxa"/>
        <w:left w:w="0" w:type="dxa"/>
        <w:bottom w:w="0" w:type="dxa"/>
        <w:right w:w="0" w:type="dxa"/>
      </w:tblCellMar>
    </w:tblPr>
  </w:style>
  <w:style w:type="table" w:customStyle="1" w:styleId="203">
    <w:name w:val="Grid Table 4 - Accent 6"/>
    <w:qFormat/>
    <w:uiPriority w:val="59"/>
    <w:tblPr>
      <w:tblCellMar>
        <w:top w:w="0" w:type="dxa"/>
        <w:left w:w="0" w:type="dxa"/>
        <w:bottom w:w="0" w:type="dxa"/>
        <w:right w:w="0" w:type="dxa"/>
      </w:tblCellMar>
    </w:tblPr>
  </w:style>
  <w:style w:type="table" w:customStyle="1" w:styleId="204">
    <w:name w:val="Grid Table 5 Dark- Accent 1"/>
    <w:qFormat/>
    <w:uiPriority w:val="99"/>
    <w:tblPr>
      <w:tblCellMar>
        <w:top w:w="0" w:type="dxa"/>
        <w:left w:w="0" w:type="dxa"/>
        <w:bottom w:w="0" w:type="dxa"/>
        <w:right w:w="0" w:type="dxa"/>
      </w:tblCellMar>
    </w:tblPr>
  </w:style>
  <w:style w:type="table" w:customStyle="1" w:styleId="205">
    <w:name w:val="Grid Table 5 Dark - Accent 2"/>
    <w:qFormat/>
    <w:uiPriority w:val="99"/>
    <w:tblPr>
      <w:tblCellMar>
        <w:top w:w="0" w:type="dxa"/>
        <w:left w:w="0" w:type="dxa"/>
        <w:bottom w:w="0" w:type="dxa"/>
        <w:right w:w="0" w:type="dxa"/>
      </w:tblCellMar>
    </w:tblPr>
  </w:style>
  <w:style w:type="table" w:customStyle="1" w:styleId="206">
    <w:name w:val="Grid Table 5 Dark - Accent 3"/>
    <w:qFormat/>
    <w:uiPriority w:val="99"/>
    <w:tblPr>
      <w:tblCellMar>
        <w:top w:w="0" w:type="dxa"/>
        <w:left w:w="0" w:type="dxa"/>
        <w:bottom w:w="0" w:type="dxa"/>
        <w:right w:w="0" w:type="dxa"/>
      </w:tblCellMar>
    </w:tblPr>
  </w:style>
  <w:style w:type="table" w:customStyle="1" w:styleId="207">
    <w:name w:val="Grid Table 5 Dark- Accent 4"/>
    <w:qFormat/>
    <w:uiPriority w:val="99"/>
    <w:tblPr>
      <w:tblCellMar>
        <w:top w:w="0" w:type="dxa"/>
        <w:left w:w="0" w:type="dxa"/>
        <w:bottom w:w="0" w:type="dxa"/>
        <w:right w:w="0" w:type="dxa"/>
      </w:tblCellMar>
    </w:tblPr>
  </w:style>
  <w:style w:type="table" w:customStyle="1" w:styleId="208">
    <w:name w:val="Grid Table 5 Dark - Accent 5"/>
    <w:qFormat/>
    <w:uiPriority w:val="99"/>
    <w:tblPr>
      <w:tblCellMar>
        <w:top w:w="0" w:type="dxa"/>
        <w:left w:w="0" w:type="dxa"/>
        <w:bottom w:w="0" w:type="dxa"/>
        <w:right w:w="0" w:type="dxa"/>
      </w:tblCellMar>
    </w:tblPr>
  </w:style>
  <w:style w:type="table" w:customStyle="1" w:styleId="209">
    <w:name w:val="Grid Table 5 Dark - Accent 6"/>
    <w:qFormat/>
    <w:uiPriority w:val="99"/>
    <w:tblPr>
      <w:tblCellMar>
        <w:top w:w="0" w:type="dxa"/>
        <w:left w:w="0" w:type="dxa"/>
        <w:bottom w:w="0" w:type="dxa"/>
        <w:right w:w="0" w:type="dxa"/>
      </w:tblCellMar>
    </w:tblPr>
  </w:style>
  <w:style w:type="table" w:customStyle="1" w:styleId="210">
    <w:name w:val="Grid Table 6 Colorful - Accent 1"/>
    <w:qFormat/>
    <w:uiPriority w:val="99"/>
    <w:tblPr>
      <w:tblCellMar>
        <w:top w:w="0" w:type="dxa"/>
        <w:left w:w="0" w:type="dxa"/>
        <w:bottom w:w="0" w:type="dxa"/>
        <w:right w:w="0" w:type="dxa"/>
      </w:tblCellMar>
    </w:tblPr>
  </w:style>
  <w:style w:type="table" w:customStyle="1" w:styleId="211">
    <w:name w:val="Grid Table 6 Colorful - Accent 2"/>
    <w:qFormat/>
    <w:uiPriority w:val="99"/>
    <w:tblPr>
      <w:tblCellMar>
        <w:top w:w="0" w:type="dxa"/>
        <w:left w:w="0" w:type="dxa"/>
        <w:bottom w:w="0" w:type="dxa"/>
        <w:right w:w="0" w:type="dxa"/>
      </w:tblCellMar>
    </w:tblPr>
  </w:style>
  <w:style w:type="table" w:customStyle="1" w:styleId="212">
    <w:name w:val="Grid Table 6 Colorful - Accent 3"/>
    <w:qFormat/>
    <w:uiPriority w:val="99"/>
    <w:tblPr>
      <w:tblCellMar>
        <w:top w:w="0" w:type="dxa"/>
        <w:left w:w="0" w:type="dxa"/>
        <w:bottom w:w="0" w:type="dxa"/>
        <w:right w:w="0" w:type="dxa"/>
      </w:tblCellMar>
    </w:tblPr>
  </w:style>
  <w:style w:type="table" w:customStyle="1" w:styleId="213">
    <w:name w:val="Grid Table 6 Colorful - Accent 4"/>
    <w:qFormat/>
    <w:uiPriority w:val="99"/>
    <w:tblPr>
      <w:tblCellMar>
        <w:top w:w="0" w:type="dxa"/>
        <w:left w:w="0" w:type="dxa"/>
        <w:bottom w:w="0" w:type="dxa"/>
        <w:right w:w="0" w:type="dxa"/>
      </w:tblCellMar>
    </w:tblPr>
  </w:style>
  <w:style w:type="table" w:customStyle="1" w:styleId="214">
    <w:name w:val="Grid Table 6 Colorful - Accent 5"/>
    <w:qFormat/>
    <w:uiPriority w:val="99"/>
    <w:tblPr>
      <w:tblCellMar>
        <w:top w:w="0" w:type="dxa"/>
        <w:left w:w="0" w:type="dxa"/>
        <w:bottom w:w="0" w:type="dxa"/>
        <w:right w:w="0" w:type="dxa"/>
      </w:tblCellMar>
    </w:tblPr>
  </w:style>
  <w:style w:type="table" w:customStyle="1" w:styleId="215">
    <w:name w:val="Grid Table 6 Colorful - Accent 6"/>
    <w:qFormat/>
    <w:uiPriority w:val="99"/>
    <w:tblPr>
      <w:tblCellMar>
        <w:top w:w="0" w:type="dxa"/>
        <w:left w:w="0" w:type="dxa"/>
        <w:bottom w:w="0" w:type="dxa"/>
        <w:right w:w="0" w:type="dxa"/>
      </w:tblCellMar>
    </w:tblPr>
  </w:style>
  <w:style w:type="table" w:customStyle="1" w:styleId="216">
    <w:name w:val="Grid Table 7 Colorful - Accent 1"/>
    <w:qFormat/>
    <w:uiPriority w:val="99"/>
    <w:tblPr>
      <w:tblCellMar>
        <w:top w:w="0" w:type="dxa"/>
        <w:left w:w="0" w:type="dxa"/>
        <w:bottom w:w="0" w:type="dxa"/>
        <w:right w:w="0" w:type="dxa"/>
      </w:tblCellMar>
    </w:tblPr>
  </w:style>
  <w:style w:type="table" w:customStyle="1" w:styleId="217">
    <w:name w:val="Grid Table 7 Colorful - Accent 2"/>
    <w:qFormat/>
    <w:uiPriority w:val="99"/>
    <w:tblPr>
      <w:tblCellMar>
        <w:top w:w="0" w:type="dxa"/>
        <w:left w:w="0" w:type="dxa"/>
        <w:bottom w:w="0" w:type="dxa"/>
        <w:right w:w="0" w:type="dxa"/>
      </w:tblCellMar>
    </w:tblPr>
  </w:style>
  <w:style w:type="table" w:customStyle="1" w:styleId="218">
    <w:name w:val="Grid Table 7 Colorful - Accent 3"/>
    <w:qFormat/>
    <w:uiPriority w:val="99"/>
    <w:tblPr>
      <w:tblCellMar>
        <w:top w:w="0" w:type="dxa"/>
        <w:left w:w="0" w:type="dxa"/>
        <w:bottom w:w="0" w:type="dxa"/>
        <w:right w:w="0" w:type="dxa"/>
      </w:tblCellMar>
    </w:tblPr>
  </w:style>
  <w:style w:type="table" w:customStyle="1" w:styleId="219">
    <w:name w:val="Grid Table 7 Colorful - Accent 4"/>
    <w:qFormat/>
    <w:uiPriority w:val="99"/>
    <w:tblPr>
      <w:tblCellMar>
        <w:top w:w="0" w:type="dxa"/>
        <w:left w:w="0" w:type="dxa"/>
        <w:bottom w:w="0" w:type="dxa"/>
        <w:right w:w="0" w:type="dxa"/>
      </w:tblCellMar>
    </w:tblPr>
  </w:style>
  <w:style w:type="table" w:customStyle="1" w:styleId="220">
    <w:name w:val="Grid Table 7 Colorful - Accent 5"/>
    <w:qFormat/>
    <w:uiPriority w:val="99"/>
    <w:tblPr>
      <w:tblCellMar>
        <w:top w:w="0" w:type="dxa"/>
        <w:left w:w="0" w:type="dxa"/>
        <w:bottom w:w="0" w:type="dxa"/>
        <w:right w:w="0" w:type="dxa"/>
      </w:tblCellMar>
    </w:tblPr>
  </w:style>
  <w:style w:type="table" w:customStyle="1" w:styleId="221">
    <w:name w:val="Grid Table 7 Colorful - Accent 6"/>
    <w:qFormat/>
    <w:uiPriority w:val="99"/>
    <w:tblPr>
      <w:tblCellMar>
        <w:top w:w="0" w:type="dxa"/>
        <w:left w:w="0" w:type="dxa"/>
        <w:bottom w:w="0" w:type="dxa"/>
        <w:right w:w="0" w:type="dxa"/>
      </w:tblCellMar>
    </w:tblPr>
  </w:style>
  <w:style w:type="table" w:customStyle="1" w:styleId="222">
    <w:name w:val="List Table 1 Light - Accent 1"/>
    <w:qFormat/>
    <w:uiPriority w:val="99"/>
    <w:tblPr>
      <w:tblCellMar>
        <w:top w:w="0" w:type="dxa"/>
        <w:left w:w="0" w:type="dxa"/>
        <w:bottom w:w="0" w:type="dxa"/>
        <w:right w:w="0" w:type="dxa"/>
      </w:tblCellMar>
    </w:tblPr>
  </w:style>
  <w:style w:type="table" w:customStyle="1" w:styleId="223">
    <w:name w:val="List Table 1 Light - Accent 2"/>
    <w:qFormat/>
    <w:uiPriority w:val="99"/>
    <w:tblPr>
      <w:tblCellMar>
        <w:top w:w="0" w:type="dxa"/>
        <w:left w:w="0" w:type="dxa"/>
        <w:bottom w:w="0" w:type="dxa"/>
        <w:right w:w="0" w:type="dxa"/>
      </w:tblCellMar>
    </w:tblPr>
  </w:style>
  <w:style w:type="table" w:customStyle="1" w:styleId="224">
    <w:name w:val="List Table 1 Light - Accent 3"/>
    <w:qFormat/>
    <w:uiPriority w:val="99"/>
    <w:tblPr>
      <w:tblCellMar>
        <w:top w:w="0" w:type="dxa"/>
        <w:left w:w="0" w:type="dxa"/>
        <w:bottom w:w="0" w:type="dxa"/>
        <w:right w:w="0" w:type="dxa"/>
      </w:tblCellMar>
    </w:tblPr>
  </w:style>
  <w:style w:type="table" w:customStyle="1" w:styleId="225">
    <w:name w:val="List Table 1 Light - Accent 4"/>
    <w:qFormat/>
    <w:uiPriority w:val="99"/>
    <w:tblPr>
      <w:tblCellMar>
        <w:top w:w="0" w:type="dxa"/>
        <w:left w:w="0" w:type="dxa"/>
        <w:bottom w:w="0" w:type="dxa"/>
        <w:right w:w="0" w:type="dxa"/>
      </w:tblCellMar>
    </w:tblPr>
  </w:style>
  <w:style w:type="table" w:customStyle="1" w:styleId="226">
    <w:name w:val="List Table 1 Light - Accent 5"/>
    <w:qFormat/>
    <w:uiPriority w:val="99"/>
    <w:tblPr>
      <w:tblCellMar>
        <w:top w:w="0" w:type="dxa"/>
        <w:left w:w="0" w:type="dxa"/>
        <w:bottom w:w="0" w:type="dxa"/>
        <w:right w:w="0" w:type="dxa"/>
      </w:tblCellMar>
    </w:tblPr>
  </w:style>
  <w:style w:type="table" w:customStyle="1" w:styleId="227">
    <w:name w:val="List Table 1 Light - Accent 6"/>
    <w:qFormat/>
    <w:uiPriority w:val="99"/>
    <w:tblPr>
      <w:tblCellMar>
        <w:top w:w="0" w:type="dxa"/>
        <w:left w:w="0" w:type="dxa"/>
        <w:bottom w:w="0" w:type="dxa"/>
        <w:right w:w="0" w:type="dxa"/>
      </w:tblCellMar>
    </w:tblPr>
  </w:style>
  <w:style w:type="table" w:customStyle="1" w:styleId="228">
    <w:name w:val="List Table 2 - Accent 1"/>
    <w:qFormat/>
    <w:uiPriority w:val="99"/>
    <w:tblPr>
      <w:tblCellMar>
        <w:top w:w="0" w:type="dxa"/>
        <w:left w:w="0" w:type="dxa"/>
        <w:bottom w:w="0" w:type="dxa"/>
        <w:right w:w="0" w:type="dxa"/>
      </w:tblCellMar>
    </w:tblPr>
  </w:style>
  <w:style w:type="table" w:customStyle="1" w:styleId="229">
    <w:name w:val="List Table 2 - Accent 2"/>
    <w:qFormat/>
    <w:uiPriority w:val="99"/>
    <w:tblPr>
      <w:tblCellMar>
        <w:top w:w="0" w:type="dxa"/>
        <w:left w:w="0" w:type="dxa"/>
        <w:bottom w:w="0" w:type="dxa"/>
        <w:right w:w="0" w:type="dxa"/>
      </w:tblCellMar>
    </w:tblPr>
  </w:style>
  <w:style w:type="table" w:customStyle="1" w:styleId="230">
    <w:name w:val="List Table 2 - Accent 3"/>
    <w:qFormat/>
    <w:uiPriority w:val="99"/>
    <w:tblPr>
      <w:tblCellMar>
        <w:top w:w="0" w:type="dxa"/>
        <w:left w:w="0" w:type="dxa"/>
        <w:bottom w:w="0" w:type="dxa"/>
        <w:right w:w="0" w:type="dxa"/>
      </w:tblCellMar>
    </w:tblPr>
  </w:style>
  <w:style w:type="table" w:customStyle="1" w:styleId="231">
    <w:name w:val="List Table 2 - Accent 4"/>
    <w:qFormat/>
    <w:uiPriority w:val="99"/>
    <w:tblPr>
      <w:tblCellMar>
        <w:top w:w="0" w:type="dxa"/>
        <w:left w:w="0" w:type="dxa"/>
        <w:bottom w:w="0" w:type="dxa"/>
        <w:right w:w="0" w:type="dxa"/>
      </w:tblCellMar>
    </w:tblPr>
  </w:style>
  <w:style w:type="table" w:customStyle="1" w:styleId="232">
    <w:name w:val="List Table 2 - Accent 5"/>
    <w:qFormat/>
    <w:uiPriority w:val="99"/>
    <w:tblPr>
      <w:tblCellMar>
        <w:top w:w="0" w:type="dxa"/>
        <w:left w:w="0" w:type="dxa"/>
        <w:bottom w:w="0" w:type="dxa"/>
        <w:right w:w="0" w:type="dxa"/>
      </w:tblCellMar>
    </w:tblPr>
  </w:style>
  <w:style w:type="table" w:customStyle="1" w:styleId="233">
    <w:name w:val="List Table 2 - Accent 6"/>
    <w:qFormat/>
    <w:uiPriority w:val="99"/>
    <w:tblPr>
      <w:tblCellMar>
        <w:top w:w="0" w:type="dxa"/>
        <w:left w:w="0" w:type="dxa"/>
        <w:bottom w:w="0" w:type="dxa"/>
        <w:right w:w="0" w:type="dxa"/>
      </w:tblCellMar>
    </w:tblPr>
  </w:style>
  <w:style w:type="table" w:customStyle="1" w:styleId="234">
    <w:name w:val="List Table 3 - Accent 1"/>
    <w:qFormat/>
    <w:uiPriority w:val="99"/>
    <w:tblPr>
      <w:tblCellMar>
        <w:top w:w="0" w:type="dxa"/>
        <w:left w:w="0" w:type="dxa"/>
        <w:bottom w:w="0" w:type="dxa"/>
        <w:right w:w="0" w:type="dxa"/>
      </w:tblCellMar>
    </w:tblPr>
  </w:style>
  <w:style w:type="table" w:customStyle="1" w:styleId="235">
    <w:name w:val="List Table 3 - Accent 2"/>
    <w:qFormat/>
    <w:uiPriority w:val="99"/>
    <w:tblPr>
      <w:tblCellMar>
        <w:top w:w="0" w:type="dxa"/>
        <w:left w:w="0" w:type="dxa"/>
        <w:bottom w:w="0" w:type="dxa"/>
        <w:right w:w="0" w:type="dxa"/>
      </w:tblCellMar>
    </w:tblPr>
  </w:style>
  <w:style w:type="table" w:customStyle="1" w:styleId="236">
    <w:name w:val="List Table 3 - Accent 3"/>
    <w:qFormat/>
    <w:uiPriority w:val="99"/>
    <w:tblPr>
      <w:tblCellMar>
        <w:top w:w="0" w:type="dxa"/>
        <w:left w:w="0" w:type="dxa"/>
        <w:bottom w:w="0" w:type="dxa"/>
        <w:right w:w="0" w:type="dxa"/>
      </w:tblCellMar>
    </w:tblPr>
  </w:style>
  <w:style w:type="table" w:customStyle="1" w:styleId="237">
    <w:name w:val="List Table 3 - Accent 4"/>
    <w:qFormat/>
    <w:uiPriority w:val="99"/>
    <w:tblPr>
      <w:tblCellMar>
        <w:top w:w="0" w:type="dxa"/>
        <w:left w:w="0" w:type="dxa"/>
        <w:bottom w:w="0" w:type="dxa"/>
        <w:right w:w="0" w:type="dxa"/>
      </w:tblCellMar>
    </w:tblPr>
  </w:style>
  <w:style w:type="table" w:customStyle="1" w:styleId="238">
    <w:name w:val="List Table 3 - Accent 5"/>
    <w:qFormat/>
    <w:uiPriority w:val="99"/>
    <w:tblPr>
      <w:tblCellMar>
        <w:top w:w="0" w:type="dxa"/>
        <w:left w:w="0" w:type="dxa"/>
        <w:bottom w:w="0" w:type="dxa"/>
        <w:right w:w="0" w:type="dxa"/>
      </w:tblCellMar>
    </w:tblPr>
  </w:style>
  <w:style w:type="table" w:customStyle="1" w:styleId="239">
    <w:name w:val="List Table 3 - Accent 6"/>
    <w:qFormat/>
    <w:uiPriority w:val="99"/>
    <w:tblPr>
      <w:tblCellMar>
        <w:top w:w="0" w:type="dxa"/>
        <w:left w:w="0" w:type="dxa"/>
        <w:bottom w:w="0" w:type="dxa"/>
        <w:right w:w="0" w:type="dxa"/>
      </w:tblCellMar>
    </w:tblPr>
  </w:style>
  <w:style w:type="table" w:customStyle="1" w:styleId="240">
    <w:name w:val="List Table 4 - Accent 1"/>
    <w:qFormat/>
    <w:uiPriority w:val="99"/>
    <w:tblPr>
      <w:tblCellMar>
        <w:top w:w="0" w:type="dxa"/>
        <w:left w:w="0" w:type="dxa"/>
        <w:bottom w:w="0" w:type="dxa"/>
        <w:right w:w="0" w:type="dxa"/>
      </w:tblCellMar>
    </w:tblPr>
  </w:style>
  <w:style w:type="table" w:customStyle="1" w:styleId="241">
    <w:name w:val="List Table 4 - Accent 2"/>
    <w:qFormat/>
    <w:uiPriority w:val="99"/>
    <w:tblPr>
      <w:tblCellMar>
        <w:top w:w="0" w:type="dxa"/>
        <w:left w:w="0" w:type="dxa"/>
        <w:bottom w:w="0" w:type="dxa"/>
        <w:right w:w="0" w:type="dxa"/>
      </w:tblCellMar>
    </w:tblPr>
  </w:style>
  <w:style w:type="table" w:customStyle="1" w:styleId="242">
    <w:name w:val="List Table 4 - Accent 3"/>
    <w:qFormat/>
    <w:uiPriority w:val="99"/>
    <w:tblPr>
      <w:tblCellMar>
        <w:top w:w="0" w:type="dxa"/>
        <w:left w:w="0" w:type="dxa"/>
        <w:bottom w:w="0" w:type="dxa"/>
        <w:right w:w="0" w:type="dxa"/>
      </w:tblCellMar>
    </w:tblPr>
  </w:style>
  <w:style w:type="table" w:customStyle="1" w:styleId="243">
    <w:name w:val="List Table 4 - Accent 4"/>
    <w:qFormat/>
    <w:uiPriority w:val="99"/>
    <w:tblPr>
      <w:tblCellMar>
        <w:top w:w="0" w:type="dxa"/>
        <w:left w:w="0" w:type="dxa"/>
        <w:bottom w:w="0" w:type="dxa"/>
        <w:right w:w="0" w:type="dxa"/>
      </w:tblCellMar>
    </w:tblPr>
  </w:style>
  <w:style w:type="table" w:customStyle="1" w:styleId="244">
    <w:name w:val="List Table 4 - Accent 5"/>
    <w:qFormat/>
    <w:uiPriority w:val="99"/>
    <w:tblPr>
      <w:tblCellMar>
        <w:top w:w="0" w:type="dxa"/>
        <w:left w:w="0" w:type="dxa"/>
        <w:bottom w:w="0" w:type="dxa"/>
        <w:right w:w="0" w:type="dxa"/>
      </w:tblCellMar>
    </w:tblPr>
  </w:style>
  <w:style w:type="table" w:customStyle="1" w:styleId="245">
    <w:name w:val="List Table 4 - Accent 6"/>
    <w:qFormat/>
    <w:uiPriority w:val="99"/>
    <w:tblPr>
      <w:tblCellMar>
        <w:top w:w="0" w:type="dxa"/>
        <w:left w:w="0" w:type="dxa"/>
        <w:bottom w:w="0" w:type="dxa"/>
        <w:right w:w="0" w:type="dxa"/>
      </w:tblCellMar>
    </w:tblPr>
  </w:style>
  <w:style w:type="table" w:customStyle="1" w:styleId="246">
    <w:name w:val="List Table 5 Dark - Accent 1"/>
    <w:qFormat/>
    <w:uiPriority w:val="99"/>
    <w:tblPr>
      <w:tblCellMar>
        <w:top w:w="0" w:type="dxa"/>
        <w:left w:w="0" w:type="dxa"/>
        <w:bottom w:w="0" w:type="dxa"/>
        <w:right w:w="0" w:type="dxa"/>
      </w:tblCellMar>
    </w:tblPr>
  </w:style>
  <w:style w:type="table" w:customStyle="1" w:styleId="247">
    <w:name w:val="List Table 5 Dark - Accent 2"/>
    <w:qFormat/>
    <w:uiPriority w:val="99"/>
    <w:tblPr>
      <w:tblCellMar>
        <w:top w:w="0" w:type="dxa"/>
        <w:left w:w="0" w:type="dxa"/>
        <w:bottom w:w="0" w:type="dxa"/>
        <w:right w:w="0" w:type="dxa"/>
      </w:tblCellMar>
    </w:tblPr>
  </w:style>
  <w:style w:type="table" w:customStyle="1" w:styleId="248">
    <w:name w:val="List Table 5 Dark - Accent 3"/>
    <w:qFormat/>
    <w:uiPriority w:val="99"/>
    <w:tblPr>
      <w:tblCellMar>
        <w:top w:w="0" w:type="dxa"/>
        <w:left w:w="0" w:type="dxa"/>
        <w:bottom w:w="0" w:type="dxa"/>
        <w:right w:w="0" w:type="dxa"/>
      </w:tblCellMar>
    </w:tblPr>
  </w:style>
  <w:style w:type="table" w:customStyle="1" w:styleId="249">
    <w:name w:val="List Table 5 Dark - Accent 4"/>
    <w:qFormat/>
    <w:uiPriority w:val="99"/>
    <w:tblPr>
      <w:tblCellMar>
        <w:top w:w="0" w:type="dxa"/>
        <w:left w:w="0" w:type="dxa"/>
        <w:bottom w:w="0" w:type="dxa"/>
        <w:right w:w="0" w:type="dxa"/>
      </w:tblCellMar>
    </w:tblPr>
  </w:style>
  <w:style w:type="table" w:customStyle="1" w:styleId="250">
    <w:name w:val="List Table 5 Dark - Accent 5"/>
    <w:qFormat/>
    <w:uiPriority w:val="99"/>
    <w:tblPr>
      <w:tblCellMar>
        <w:top w:w="0" w:type="dxa"/>
        <w:left w:w="0" w:type="dxa"/>
        <w:bottom w:w="0" w:type="dxa"/>
        <w:right w:w="0" w:type="dxa"/>
      </w:tblCellMar>
    </w:tblPr>
  </w:style>
  <w:style w:type="table" w:customStyle="1" w:styleId="251">
    <w:name w:val="List Table 5 Dark - Accent 6"/>
    <w:qFormat/>
    <w:uiPriority w:val="99"/>
    <w:tblPr>
      <w:tblCellMar>
        <w:top w:w="0" w:type="dxa"/>
        <w:left w:w="0" w:type="dxa"/>
        <w:bottom w:w="0" w:type="dxa"/>
        <w:right w:w="0" w:type="dxa"/>
      </w:tblCellMar>
    </w:tblPr>
  </w:style>
  <w:style w:type="table" w:customStyle="1" w:styleId="252">
    <w:name w:val="List Table 6 Colorful - Accent 1"/>
    <w:qFormat/>
    <w:uiPriority w:val="99"/>
    <w:tblPr>
      <w:tblCellMar>
        <w:top w:w="0" w:type="dxa"/>
        <w:left w:w="0" w:type="dxa"/>
        <w:bottom w:w="0" w:type="dxa"/>
        <w:right w:w="0" w:type="dxa"/>
      </w:tblCellMar>
    </w:tblPr>
  </w:style>
  <w:style w:type="table" w:customStyle="1" w:styleId="253">
    <w:name w:val="List Table 6 Colorful - Accent 2"/>
    <w:qFormat/>
    <w:uiPriority w:val="99"/>
    <w:tblPr>
      <w:tblCellMar>
        <w:top w:w="0" w:type="dxa"/>
        <w:left w:w="0" w:type="dxa"/>
        <w:bottom w:w="0" w:type="dxa"/>
        <w:right w:w="0" w:type="dxa"/>
      </w:tblCellMar>
    </w:tblPr>
  </w:style>
  <w:style w:type="table" w:customStyle="1" w:styleId="254">
    <w:name w:val="List Table 6 Colorful - Accent 3"/>
    <w:qFormat/>
    <w:uiPriority w:val="99"/>
    <w:tblPr>
      <w:tblCellMar>
        <w:top w:w="0" w:type="dxa"/>
        <w:left w:w="0" w:type="dxa"/>
        <w:bottom w:w="0" w:type="dxa"/>
        <w:right w:w="0" w:type="dxa"/>
      </w:tblCellMar>
    </w:tblPr>
  </w:style>
  <w:style w:type="table" w:customStyle="1" w:styleId="255">
    <w:name w:val="List Table 6 Colorful - Accent 4"/>
    <w:qFormat/>
    <w:uiPriority w:val="99"/>
    <w:tblPr>
      <w:tblCellMar>
        <w:top w:w="0" w:type="dxa"/>
        <w:left w:w="0" w:type="dxa"/>
        <w:bottom w:w="0" w:type="dxa"/>
        <w:right w:w="0" w:type="dxa"/>
      </w:tblCellMar>
    </w:tblPr>
  </w:style>
  <w:style w:type="table" w:customStyle="1" w:styleId="256">
    <w:name w:val="List Table 6 Colorful - Accent 5"/>
    <w:qFormat/>
    <w:uiPriority w:val="99"/>
    <w:tblPr>
      <w:tblCellMar>
        <w:top w:w="0" w:type="dxa"/>
        <w:left w:w="0" w:type="dxa"/>
        <w:bottom w:w="0" w:type="dxa"/>
        <w:right w:w="0" w:type="dxa"/>
      </w:tblCellMar>
    </w:tblPr>
  </w:style>
  <w:style w:type="table" w:customStyle="1" w:styleId="257">
    <w:name w:val="List Table 6 Colorful - Accent 6"/>
    <w:qFormat/>
    <w:uiPriority w:val="99"/>
    <w:tblPr>
      <w:tblCellMar>
        <w:top w:w="0" w:type="dxa"/>
        <w:left w:w="0" w:type="dxa"/>
        <w:bottom w:w="0" w:type="dxa"/>
        <w:right w:w="0" w:type="dxa"/>
      </w:tblCellMar>
    </w:tblPr>
  </w:style>
  <w:style w:type="table" w:customStyle="1" w:styleId="258">
    <w:name w:val="List Table 7 Colorful - Accent 1"/>
    <w:qFormat/>
    <w:uiPriority w:val="99"/>
    <w:tblPr>
      <w:tblCellMar>
        <w:top w:w="0" w:type="dxa"/>
        <w:left w:w="0" w:type="dxa"/>
        <w:bottom w:w="0" w:type="dxa"/>
        <w:right w:w="0" w:type="dxa"/>
      </w:tblCellMar>
    </w:tblPr>
  </w:style>
  <w:style w:type="table" w:customStyle="1" w:styleId="259">
    <w:name w:val="List Table 7 Colorful - Accent 2"/>
    <w:qFormat/>
    <w:uiPriority w:val="99"/>
    <w:tblPr>
      <w:tblCellMar>
        <w:top w:w="0" w:type="dxa"/>
        <w:left w:w="0" w:type="dxa"/>
        <w:bottom w:w="0" w:type="dxa"/>
        <w:right w:w="0" w:type="dxa"/>
      </w:tblCellMar>
    </w:tblPr>
  </w:style>
  <w:style w:type="table" w:customStyle="1" w:styleId="260">
    <w:name w:val="List Table 7 Colorful - Accent 3"/>
    <w:qFormat/>
    <w:uiPriority w:val="99"/>
    <w:tblPr>
      <w:tblCellMar>
        <w:top w:w="0" w:type="dxa"/>
        <w:left w:w="0" w:type="dxa"/>
        <w:bottom w:w="0" w:type="dxa"/>
        <w:right w:w="0" w:type="dxa"/>
      </w:tblCellMar>
    </w:tblPr>
  </w:style>
  <w:style w:type="table" w:customStyle="1" w:styleId="261">
    <w:name w:val="List Table 7 Colorful - Accent 4"/>
    <w:qFormat/>
    <w:uiPriority w:val="99"/>
    <w:tblPr>
      <w:tblCellMar>
        <w:top w:w="0" w:type="dxa"/>
        <w:left w:w="0" w:type="dxa"/>
        <w:bottom w:w="0" w:type="dxa"/>
        <w:right w:w="0" w:type="dxa"/>
      </w:tblCellMar>
    </w:tblPr>
  </w:style>
  <w:style w:type="table" w:customStyle="1" w:styleId="262">
    <w:name w:val="List Table 7 Colorful - Accent 5"/>
    <w:qFormat/>
    <w:uiPriority w:val="99"/>
    <w:tblPr>
      <w:tblCellMar>
        <w:top w:w="0" w:type="dxa"/>
        <w:left w:w="0" w:type="dxa"/>
        <w:bottom w:w="0" w:type="dxa"/>
        <w:right w:w="0" w:type="dxa"/>
      </w:tblCellMar>
    </w:tblPr>
  </w:style>
  <w:style w:type="table" w:customStyle="1" w:styleId="263">
    <w:name w:val="List Table 7 Colorful - Accent 6"/>
    <w:qFormat/>
    <w:uiPriority w:val="99"/>
    <w:tblPr>
      <w:tblCellMar>
        <w:top w:w="0" w:type="dxa"/>
        <w:left w:w="0" w:type="dxa"/>
        <w:bottom w:w="0" w:type="dxa"/>
        <w:right w:w="0" w:type="dxa"/>
      </w:tblCellMar>
    </w:tblPr>
  </w:style>
  <w:style w:type="table" w:customStyle="1" w:styleId="264">
    <w:name w:val="Lined - Accent"/>
    <w:qFormat/>
    <w:uiPriority w:val="99"/>
    <w:rPr>
      <w:color w:val="404040"/>
    </w:rPr>
    <w:tblPr>
      <w:tblCellMar>
        <w:top w:w="0" w:type="dxa"/>
        <w:left w:w="0" w:type="dxa"/>
        <w:bottom w:w="0" w:type="dxa"/>
        <w:right w:w="0" w:type="dxa"/>
      </w:tblCellMar>
    </w:tblPr>
  </w:style>
  <w:style w:type="table" w:customStyle="1" w:styleId="265">
    <w:name w:val="Lined - Accent 1"/>
    <w:qFormat/>
    <w:uiPriority w:val="99"/>
    <w:rPr>
      <w:color w:val="404040"/>
    </w:rPr>
    <w:tblPr>
      <w:tblCellMar>
        <w:top w:w="0" w:type="dxa"/>
        <w:left w:w="0" w:type="dxa"/>
        <w:bottom w:w="0" w:type="dxa"/>
        <w:right w:w="0" w:type="dxa"/>
      </w:tblCellMar>
    </w:tblPr>
  </w:style>
  <w:style w:type="table" w:customStyle="1" w:styleId="266">
    <w:name w:val="Lined - Accent 2"/>
    <w:qFormat/>
    <w:uiPriority w:val="99"/>
    <w:rPr>
      <w:color w:val="404040"/>
    </w:rPr>
    <w:tblPr>
      <w:tblCellMar>
        <w:top w:w="0" w:type="dxa"/>
        <w:left w:w="0" w:type="dxa"/>
        <w:bottom w:w="0" w:type="dxa"/>
        <w:right w:w="0" w:type="dxa"/>
      </w:tblCellMar>
    </w:tblPr>
  </w:style>
  <w:style w:type="table" w:customStyle="1" w:styleId="267">
    <w:name w:val="Lined - Accent 3"/>
    <w:qFormat/>
    <w:uiPriority w:val="99"/>
    <w:rPr>
      <w:color w:val="404040"/>
    </w:rPr>
    <w:tblPr>
      <w:tblCellMar>
        <w:top w:w="0" w:type="dxa"/>
        <w:left w:w="0" w:type="dxa"/>
        <w:bottom w:w="0" w:type="dxa"/>
        <w:right w:w="0" w:type="dxa"/>
      </w:tblCellMar>
    </w:tblPr>
  </w:style>
  <w:style w:type="table" w:customStyle="1" w:styleId="268">
    <w:name w:val="Lined - Accent 4"/>
    <w:qFormat/>
    <w:uiPriority w:val="99"/>
    <w:rPr>
      <w:color w:val="404040"/>
    </w:rPr>
    <w:tblPr>
      <w:tblCellMar>
        <w:top w:w="0" w:type="dxa"/>
        <w:left w:w="0" w:type="dxa"/>
        <w:bottom w:w="0" w:type="dxa"/>
        <w:right w:w="0" w:type="dxa"/>
      </w:tblCellMar>
    </w:tblPr>
  </w:style>
  <w:style w:type="table" w:customStyle="1" w:styleId="269">
    <w:name w:val="Lined - Accent 5"/>
    <w:qFormat/>
    <w:uiPriority w:val="99"/>
    <w:rPr>
      <w:color w:val="404040"/>
    </w:rPr>
    <w:tblPr>
      <w:tblCellMar>
        <w:top w:w="0" w:type="dxa"/>
        <w:left w:w="0" w:type="dxa"/>
        <w:bottom w:w="0" w:type="dxa"/>
        <w:right w:w="0" w:type="dxa"/>
      </w:tblCellMar>
    </w:tblPr>
  </w:style>
  <w:style w:type="table" w:customStyle="1" w:styleId="270">
    <w:name w:val="Lined - Accent 6"/>
    <w:qFormat/>
    <w:uiPriority w:val="99"/>
    <w:rPr>
      <w:color w:val="404040"/>
    </w:rPr>
    <w:tblPr>
      <w:tblCellMar>
        <w:top w:w="0" w:type="dxa"/>
        <w:left w:w="0" w:type="dxa"/>
        <w:bottom w:w="0" w:type="dxa"/>
        <w:right w:w="0" w:type="dxa"/>
      </w:tblCellMar>
    </w:tblPr>
  </w:style>
  <w:style w:type="table" w:customStyle="1" w:styleId="271">
    <w:name w:val="Bordered &amp; Lined - Accent"/>
    <w:qFormat/>
    <w:uiPriority w:val="99"/>
    <w:rPr>
      <w:color w:val="404040"/>
    </w:rPr>
    <w:tblPr>
      <w:tblCellMar>
        <w:top w:w="0" w:type="dxa"/>
        <w:left w:w="0" w:type="dxa"/>
        <w:bottom w:w="0" w:type="dxa"/>
        <w:right w:w="0" w:type="dxa"/>
      </w:tblCellMar>
    </w:tblPr>
  </w:style>
  <w:style w:type="table" w:customStyle="1" w:styleId="272">
    <w:name w:val="Bordered &amp; Lined - Accent 1"/>
    <w:qFormat/>
    <w:uiPriority w:val="99"/>
    <w:rPr>
      <w:color w:val="404040"/>
    </w:rPr>
    <w:tblPr>
      <w:tblCellMar>
        <w:top w:w="0" w:type="dxa"/>
        <w:left w:w="0" w:type="dxa"/>
        <w:bottom w:w="0" w:type="dxa"/>
        <w:right w:w="0" w:type="dxa"/>
      </w:tblCellMar>
    </w:tblPr>
  </w:style>
  <w:style w:type="table" w:customStyle="1" w:styleId="273">
    <w:name w:val="Bordered &amp; Lined - Accent 2"/>
    <w:qFormat/>
    <w:uiPriority w:val="99"/>
    <w:rPr>
      <w:color w:val="404040"/>
    </w:rPr>
    <w:tblPr>
      <w:tblCellMar>
        <w:top w:w="0" w:type="dxa"/>
        <w:left w:w="0" w:type="dxa"/>
        <w:bottom w:w="0" w:type="dxa"/>
        <w:right w:w="0" w:type="dxa"/>
      </w:tblCellMar>
    </w:tblPr>
  </w:style>
  <w:style w:type="table" w:customStyle="1" w:styleId="274">
    <w:name w:val="Bordered &amp; Lined - Accent 3"/>
    <w:qFormat/>
    <w:uiPriority w:val="99"/>
    <w:rPr>
      <w:color w:val="404040"/>
    </w:rPr>
    <w:tblPr>
      <w:tblCellMar>
        <w:top w:w="0" w:type="dxa"/>
        <w:left w:w="0" w:type="dxa"/>
        <w:bottom w:w="0" w:type="dxa"/>
        <w:right w:w="0" w:type="dxa"/>
      </w:tblCellMar>
    </w:tblPr>
  </w:style>
  <w:style w:type="table" w:customStyle="1" w:styleId="275">
    <w:name w:val="Bordered &amp; Lined - Accent 4"/>
    <w:qFormat/>
    <w:uiPriority w:val="99"/>
    <w:rPr>
      <w:color w:val="404040"/>
    </w:rPr>
    <w:tblPr>
      <w:tblCellMar>
        <w:top w:w="0" w:type="dxa"/>
        <w:left w:w="0" w:type="dxa"/>
        <w:bottom w:w="0" w:type="dxa"/>
        <w:right w:w="0" w:type="dxa"/>
      </w:tblCellMar>
    </w:tblPr>
  </w:style>
  <w:style w:type="table" w:customStyle="1" w:styleId="276">
    <w:name w:val="Bordered &amp; Lined - Accent 5"/>
    <w:qFormat/>
    <w:uiPriority w:val="99"/>
    <w:rPr>
      <w:color w:val="404040"/>
    </w:rPr>
    <w:tblPr>
      <w:tblCellMar>
        <w:top w:w="0" w:type="dxa"/>
        <w:left w:w="0" w:type="dxa"/>
        <w:bottom w:w="0" w:type="dxa"/>
        <w:right w:w="0" w:type="dxa"/>
      </w:tblCellMar>
    </w:tblPr>
  </w:style>
  <w:style w:type="table" w:customStyle="1" w:styleId="277">
    <w:name w:val="Bordered &amp; Lined - Accent 6"/>
    <w:qFormat/>
    <w:uiPriority w:val="99"/>
    <w:rPr>
      <w:color w:val="404040"/>
    </w:rPr>
    <w:tblPr>
      <w:tblCellMar>
        <w:top w:w="0" w:type="dxa"/>
        <w:left w:w="0" w:type="dxa"/>
        <w:bottom w:w="0" w:type="dxa"/>
        <w:right w:w="0" w:type="dxa"/>
      </w:tblCellMar>
    </w:tblPr>
  </w:style>
  <w:style w:type="table" w:customStyle="1" w:styleId="278">
    <w:name w:val="Bordered"/>
    <w:qFormat/>
    <w:uiPriority w:val="99"/>
    <w:tblPr>
      <w:tblCellMar>
        <w:top w:w="0" w:type="dxa"/>
        <w:left w:w="0" w:type="dxa"/>
        <w:bottom w:w="0" w:type="dxa"/>
        <w:right w:w="0" w:type="dxa"/>
      </w:tblCellMar>
    </w:tblPr>
  </w:style>
  <w:style w:type="table" w:customStyle="1" w:styleId="279">
    <w:name w:val="Bordered - Accent 1"/>
    <w:qFormat/>
    <w:uiPriority w:val="99"/>
    <w:tblPr>
      <w:tblCellMar>
        <w:top w:w="0" w:type="dxa"/>
        <w:left w:w="0" w:type="dxa"/>
        <w:bottom w:w="0" w:type="dxa"/>
        <w:right w:w="0" w:type="dxa"/>
      </w:tblCellMar>
    </w:tblPr>
  </w:style>
  <w:style w:type="table" w:customStyle="1" w:styleId="280">
    <w:name w:val="Bordered - Accent 2"/>
    <w:qFormat/>
    <w:uiPriority w:val="99"/>
    <w:tblPr>
      <w:tblCellMar>
        <w:top w:w="0" w:type="dxa"/>
        <w:left w:w="0" w:type="dxa"/>
        <w:bottom w:w="0" w:type="dxa"/>
        <w:right w:w="0" w:type="dxa"/>
      </w:tblCellMar>
    </w:tblPr>
  </w:style>
  <w:style w:type="table" w:customStyle="1" w:styleId="281">
    <w:name w:val="Bordered - Accent 3"/>
    <w:qFormat/>
    <w:uiPriority w:val="99"/>
    <w:tblPr>
      <w:tblCellMar>
        <w:top w:w="0" w:type="dxa"/>
        <w:left w:w="0" w:type="dxa"/>
        <w:bottom w:w="0" w:type="dxa"/>
        <w:right w:w="0" w:type="dxa"/>
      </w:tblCellMar>
    </w:tblPr>
  </w:style>
  <w:style w:type="table" w:customStyle="1" w:styleId="282">
    <w:name w:val="Bordered - Accent 4"/>
    <w:qFormat/>
    <w:uiPriority w:val="99"/>
    <w:tblPr>
      <w:tblCellMar>
        <w:top w:w="0" w:type="dxa"/>
        <w:left w:w="0" w:type="dxa"/>
        <w:bottom w:w="0" w:type="dxa"/>
        <w:right w:w="0" w:type="dxa"/>
      </w:tblCellMar>
    </w:tblPr>
  </w:style>
  <w:style w:type="table" w:customStyle="1" w:styleId="283">
    <w:name w:val="Bordered - Accent 5"/>
    <w:qFormat/>
    <w:uiPriority w:val="99"/>
    <w:tblPr>
      <w:tblCellMar>
        <w:top w:w="0" w:type="dxa"/>
        <w:left w:w="0" w:type="dxa"/>
        <w:bottom w:w="0" w:type="dxa"/>
        <w:right w:w="0" w:type="dxa"/>
      </w:tblCellMar>
    </w:tblPr>
  </w:style>
  <w:style w:type="table" w:customStyle="1" w:styleId="284">
    <w:name w:val="Bordered - Accent 6"/>
    <w:qFormat/>
    <w:uiPriority w:val="99"/>
    <w:tblPr>
      <w:tblCellMar>
        <w:top w:w="0" w:type="dxa"/>
        <w:left w:w="0" w:type="dxa"/>
        <w:bottom w:w="0" w:type="dxa"/>
        <w:right w:w="0" w:type="dxa"/>
      </w:tblCellMar>
    </w:tblPr>
  </w:style>
  <w:style w:type="paragraph" w:customStyle="1" w:styleId="285">
    <w:name w:val="TOC 标题11"/>
    <w:unhideWhenUsed/>
    <w:qFormat/>
    <w:uiPriority w:val="39"/>
    <w:rPr>
      <w:rFonts w:hint="default" w:ascii="Times New Roman" w:hAnsi="Times New Roman" w:eastAsia="宋体" w:cs="Times New Roman"/>
      <w:lang w:val="en-US" w:eastAsia="zh-CN" w:bidi="ar-SA"/>
    </w:rPr>
  </w:style>
  <w:style w:type="paragraph" w:customStyle="1" w:styleId="286">
    <w:name w:val="标题 512"/>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87">
    <w:name w:val="标题 612"/>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88">
    <w:name w:val="标题 712"/>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89">
    <w:name w:val="标题 812"/>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90">
    <w:name w:val="标题 912"/>
    <w:basedOn w:val="1"/>
    <w:next w:val="1"/>
    <w:qFormat/>
    <w:uiPriority w:val="0"/>
    <w:pPr>
      <w:keepNext/>
      <w:spacing w:line="600" w:lineRule="exact"/>
      <w:jc w:val="center"/>
      <w:outlineLvl w:val="8"/>
    </w:pPr>
    <w:rPr>
      <w:rFonts w:ascii="仿宋_GB2312" w:eastAsia="仿宋_GB2312"/>
      <w:sz w:val="32"/>
    </w:rPr>
  </w:style>
  <w:style w:type="character" w:customStyle="1" w:styleId="291">
    <w:name w:val="默认段落字体1"/>
    <w:unhideWhenUsed/>
    <w:qFormat/>
    <w:uiPriority w:val="1"/>
  </w:style>
  <w:style w:type="table" w:customStyle="1" w:styleId="292">
    <w:name w:val="普通表格1"/>
    <w:semiHidden/>
    <w:qFormat/>
    <w:uiPriority w:val="0"/>
    <w:tblPr>
      <w:tblCellMar>
        <w:top w:w="0" w:type="dxa"/>
        <w:left w:w="0" w:type="dxa"/>
        <w:bottom w:w="0" w:type="dxa"/>
        <w:right w:w="0" w:type="dxa"/>
      </w:tblCellMar>
    </w:tblPr>
  </w:style>
  <w:style w:type="paragraph" w:customStyle="1" w:styleId="293">
    <w:name w:val="列表项目符号 41"/>
    <w:basedOn w:val="1"/>
    <w:qFormat/>
    <w:uiPriority w:val="0"/>
    <w:pPr>
      <w:tabs>
        <w:tab w:val="left" w:pos="360"/>
      </w:tabs>
      <w:spacing w:line="380" w:lineRule="exact"/>
      <w:ind w:left="360" w:hanging="360"/>
    </w:pPr>
    <w:rPr>
      <w:sz w:val="28"/>
    </w:rPr>
  </w:style>
  <w:style w:type="paragraph" w:customStyle="1" w:styleId="294">
    <w:name w:val="索引 81"/>
    <w:basedOn w:val="1"/>
    <w:next w:val="1"/>
    <w:qFormat/>
    <w:uiPriority w:val="0"/>
    <w:pPr>
      <w:ind w:left="1400"/>
    </w:pPr>
  </w:style>
  <w:style w:type="paragraph" w:customStyle="1" w:styleId="295">
    <w:name w:val="列表编号1"/>
    <w:basedOn w:val="1"/>
    <w:qFormat/>
    <w:uiPriority w:val="0"/>
    <w:pPr>
      <w:tabs>
        <w:tab w:val="left" w:pos="0"/>
        <w:tab w:val="left" w:pos="840"/>
      </w:tabs>
      <w:spacing w:line="360" w:lineRule="auto"/>
    </w:pPr>
  </w:style>
  <w:style w:type="paragraph" w:customStyle="1" w:styleId="296">
    <w:name w:val="正文缩进11"/>
    <w:basedOn w:val="1"/>
    <w:qFormat/>
    <w:uiPriority w:val="0"/>
    <w:pPr>
      <w:ind w:firstLine="420"/>
    </w:pPr>
    <w:rPr>
      <w:rFonts w:ascii="宋体"/>
      <w:color w:val="000000"/>
      <w:sz w:val="24"/>
      <w:szCs w:val="20"/>
    </w:rPr>
  </w:style>
  <w:style w:type="paragraph" w:customStyle="1" w:styleId="297">
    <w:name w:val="题注12"/>
    <w:basedOn w:val="1"/>
    <w:next w:val="1"/>
    <w:link w:val="298"/>
    <w:qFormat/>
    <w:uiPriority w:val="0"/>
    <w:pPr>
      <w:tabs>
        <w:tab w:val="left" w:pos="0"/>
      </w:tabs>
      <w:spacing w:line="360" w:lineRule="auto"/>
    </w:pPr>
    <w:rPr>
      <w:rFonts w:ascii="Arial" w:hAnsi="Arial" w:eastAsia="黑体"/>
      <w:sz w:val="20"/>
      <w:szCs w:val="20"/>
    </w:rPr>
  </w:style>
  <w:style w:type="character" w:customStyle="1" w:styleId="298">
    <w:name w:val="题注 字符"/>
    <w:link w:val="297"/>
    <w:qFormat/>
    <w:uiPriority w:val="0"/>
    <w:rPr>
      <w:rFonts w:ascii="Arial" w:hAnsi="Arial" w:eastAsia="黑体" w:cs="Arial"/>
    </w:rPr>
  </w:style>
  <w:style w:type="paragraph" w:customStyle="1" w:styleId="299">
    <w:name w:val="索引 51"/>
    <w:basedOn w:val="1"/>
    <w:next w:val="1"/>
    <w:qFormat/>
    <w:uiPriority w:val="0"/>
    <w:pPr>
      <w:ind w:left="800"/>
    </w:pPr>
  </w:style>
  <w:style w:type="paragraph" w:customStyle="1" w:styleId="300">
    <w:name w:val="列表项目符号1"/>
    <w:basedOn w:val="1"/>
    <w:qFormat/>
    <w:uiPriority w:val="0"/>
    <w:pPr>
      <w:tabs>
        <w:tab w:val="left" w:pos="840"/>
      </w:tabs>
      <w:spacing w:line="360" w:lineRule="auto"/>
      <w:ind w:left="962" w:hanging="480"/>
    </w:pPr>
    <w:rPr>
      <w:sz w:val="24"/>
    </w:rPr>
  </w:style>
  <w:style w:type="paragraph" w:customStyle="1" w:styleId="301">
    <w:name w:val="文档结构图1"/>
    <w:basedOn w:val="1"/>
    <w:qFormat/>
    <w:uiPriority w:val="0"/>
    <w:pPr>
      <w:shd w:val="clear" w:color="auto" w:fill="000080"/>
    </w:pPr>
  </w:style>
  <w:style w:type="paragraph" w:customStyle="1" w:styleId="302">
    <w:name w:val="批注文字1"/>
    <w:basedOn w:val="1"/>
    <w:link w:val="303"/>
    <w:qFormat/>
    <w:uiPriority w:val="99"/>
    <w:pPr>
      <w:jc w:val="left"/>
    </w:pPr>
    <w:rPr>
      <w:szCs w:val="20"/>
    </w:rPr>
  </w:style>
  <w:style w:type="character" w:customStyle="1" w:styleId="303">
    <w:name w:val="批注文字 字符"/>
    <w:link w:val="302"/>
    <w:qFormat/>
    <w:uiPriority w:val="99"/>
    <w:rPr>
      <w:rFonts w:ascii="Calibri" w:hAnsi="Calibri" w:eastAsia="宋体" w:cs="Times New Roman"/>
      <w:sz w:val="21"/>
    </w:rPr>
  </w:style>
  <w:style w:type="paragraph" w:customStyle="1" w:styleId="304">
    <w:name w:val="索引 61"/>
    <w:basedOn w:val="1"/>
    <w:next w:val="1"/>
    <w:qFormat/>
    <w:uiPriority w:val="0"/>
    <w:pPr>
      <w:ind w:left="1000"/>
    </w:pPr>
  </w:style>
  <w:style w:type="paragraph" w:customStyle="1" w:styleId="305">
    <w:name w:val="正文文本 31"/>
    <w:basedOn w:val="1"/>
    <w:qFormat/>
    <w:uiPriority w:val="0"/>
    <w:rPr>
      <w:color w:val="000000"/>
    </w:rPr>
  </w:style>
  <w:style w:type="paragraph" w:customStyle="1" w:styleId="306">
    <w:name w:val="列表项目符号 31"/>
    <w:basedOn w:val="1"/>
    <w:qFormat/>
    <w:uiPriority w:val="0"/>
    <w:pPr>
      <w:tabs>
        <w:tab w:val="left" w:pos="1200"/>
      </w:tabs>
      <w:spacing w:line="380" w:lineRule="exact"/>
      <w:ind w:left="1200" w:hanging="360"/>
    </w:pPr>
    <w:rPr>
      <w:sz w:val="28"/>
    </w:rPr>
  </w:style>
  <w:style w:type="paragraph" w:customStyle="1" w:styleId="307">
    <w:name w:val="正文文本1"/>
    <w:basedOn w:val="1"/>
    <w:next w:val="1"/>
    <w:qFormat/>
    <w:uiPriority w:val="0"/>
    <w:pPr>
      <w:spacing w:line="60" w:lineRule="auto"/>
    </w:pPr>
    <w:rPr>
      <w:rFonts w:ascii="仿宋_GB2312" w:eastAsia="仿宋_GB2312"/>
      <w:sz w:val="32"/>
    </w:rPr>
  </w:style>
  <w:style w:type="paragraph" w:customStyle="1" w:styleId="308">
    <w:name w:val="正文文本缩进1"/>
    <w:basedOn w:val="1"/>
    <w:qFormat/>
    <w:uiPriority w:val="0"/>
    <w:pPr>
      <w:ind w:firstLine="225"/>
    </w:pPr>
    <w:rPr>
      <w:rFonts w:ascii="仿宋_GB2312" w:eastAsia="仿宋_GB2312"/>
      <w:sz w:val="32"/>
    </w:rPr>
  </w:style>
  <w:style w:type="paragraph" w:customStyle="1" w:styleId="309">
    <w:name w:val="文本块1"/>
    <w:basedOn w:val="1"/>
    <w:qFormat/>
    <w:uiPriority w:val="0"/>
    <w:pPr>
      <w:spacing w:line="360" w:lineRule="exact"/>
      <w:ind w:left="1548" w:right="12" w:hanging="2405"/>
    </w:pPr>
    <w:rPr>
      <w:rFonts w:ascii="宋体"/>
      <w:bCs/>
      <w:sz w:val="28"/>
    </w:rPr>
  </w:style>
  <w:style w:type="paragraph" w:customStyle="1" w:styleId="310">
    <w:name w:val="列表项目符号 21"/>
    <w:basedOn w:val="1"/>
    <w:qFormat/>
    <w:uiPriority w:val="0"/>
    <w:pPr>
      <w:tabs>
        <w:tab w:val="left" w:pos="720"/>
      </w:tabs>
      <w:spacing w:line="360" w:lineRule="auto"/>
      <w:ind w:left="720" w:hanging="360"/>
    </w:pPr>
    <w:rPr>
      <w:sz w:val="24"/>
    </w:rPr>
  </w:style>
  <w:style w:type="paragraph" w:customStyle="1" w:styleId="311">
    <w:name w:val="HTML 地址1"/>
    <w:basedOn w:val="1"/>
    <w:qFormat/>
    <w:uiPriority w:val="0"/>
    <w:rPr>
      <w:i/>
      <w:iCs/>
    </w:rPr>
  </w:style>
  <w:style w:type="paragraph" w:customStyle="1" w:styleId="312">
    <w:name w:val="索引 41"/>
    <w:basedOn w:val="1"/>
    <w:next w:val="1"/>
    <w:qFormat/>
    <w:uiPriority w:val="0"/>
    <w:pPr>
      <w:ind w:left="600"/>
    </w:pPr>
  </w:style>
  <w:style w:type="paragraph" w:customStyle="1" w:styleId="313">
    <w:name w:val="纯文本11"/>
    <w:basedOn w:val="1"/>
    <w:link w:val="314"/>
    <w:qFormat/>
    <w:uiPriority w:val="0"/>
    <w:rPr>
      <w:rFonts w:ascii="宋体"/>
      <w:szCs w:val="21"/>
    </w:rPr>
  </w:style>
  <w:style w:type="character" w:customStyle="1" w:styleId="314">
    <w:name w:val="纯文本 字符"/>
    <w:link w:val="313"/>
    <w:qFormat/>
    <w:uiPriority w:val="0"/>
    <w:rPr>
      <w:rFonts w:ascii="宋体" w:hAnsi="Calibri" w:eastAsia="宋体"/>
      <w:sz w:val="21"/>
      <w:szCs w:val="21"/>
      <w:lang w:val="en-US" w:eastAsia="zh-CN" w:bidi="ar-SA"/>
    </w:rPr>
  </w:style>
  <w:style w:type="paragraph" w:customStyle="1" w:styleId="315">
    <w:name w:val="列表项目符号 51"/>
    <w:basedOn w:val="1"/>
    <w:qFormat/>
    <w:uiPriority w:val="0"/>
    <w:pPr>
      <w:tabs>
        <w:tab w:val="left" w:pos="720"/>
      </w:tabs>
      <w:spacing w:line="380" w:lineRule="exact"/>
      <w:ind w:left="720" w:hanging="360"/>
    </w:pPr>
    <w:rPr>
      <w:sz w:val="28"/>
    </w:rPr>
  </w:style>
  <w:style w:type="paragraph" w:customStyle="1" w:styleId="316">
    <w:name w:val="索引 31"/>
    <w:basedOn w:val="1"/>
    <w:next w:val="1"/>
    <w:qFormat/>
    <w:uiPriority w:val="0"/>
    <w:pPr>
      <w:ind w:left="400"/>
    </w:pPr>
  </w:style>
  <w:style w:type="paragraph" w:customStyle="1" w:styleId="317">
    <w:name w:val="日期1"/>
    <w:basedOn w:val="1"/>
    <w:next w:val="1"/>
    <w:qFormat/>
    <w:uiPriority w:val="0"/>
    <w:pPr>
      <w:ind w:left="2500"/>
    </w:pPr>
  </w:style>
  <w:style w:type="paragraph" w:customStyle="1" w:styleId="318">
    <w:name w:val="正文文本缩进 21"/>
    <w:basedOn w:val="1"/>
    <w:qFormat/>
    <w:uiPriority w:val="0"/>
    <w:pPr>
      <w:spacing w:line="540" w:lineRule="exact"/>
      <w:ind w:firstLine="225"/>
      <w:jc w:val="left"/>
    </w:pPr>
    <w:rPr>
      <w:rFonts w:ascii="仿宋_GB2312" w:eastAsia="仿宋_GB2312"/>
      <w:sz w:val="32"/>
    </w:rPr>
  </w:style>
  <w:style w:type="paragraph" w:customStyle="1" w:styleId="319">
    <w:name w:val="尾注文本1"/>
    <w:basedOn w:val="1"/>
    <w:qFormat/>
    <w:uiPriority w:val="0"/>
    <w:pPr>
      <w:widowControl/>
      <w:jc w:val="left"/>
    </w:pPr>
    <w:rPr>
      <w:rFonts w:ascii="宋体"/>
      <w:bCs/>
      <w:szCs w:val="21"/>
    </w:rPr>
  </w:style>
  <w:style w:type="paragraph" w:customStyle="1" w:styleId="320">
    <w:name w:val="批注框文本1"/>
    <w:basedOn w:val="1"/>
    <w:qFormat/>
    <w:uiPriority w:val="0"/>
    <w:rPr>
      <w:sz w:val="18"/>
      <w:szCs w:val="20"/>
    </w:rPr>
  </w:style>
  <w:style w:type="paragraph" w:customStyle="1" w:styleId="321">
    <w:name w:val="页脚12"/>
    <w:basedOn w:val="1"/>
    <w:qFormat/>
    <w:uiPriority w:val="0"/>
    <w:pPr>
      <w:tabs>
        <w:tab w:val="center" w:pos="4153"/>
        <w:tab w:val="right" w:pos="8306"/>
      </w:tabs>
      <w:jc w:val="left"/>
    </w:pPr>
    <w:rPr>
      <w:sz w:val="18"/>
      <w:szCs w:val="18"/>
    </w:rPr>
  </w:style>
  <w:style w:type="paragraph" w:customStyle="1" w:styleId="322">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23">
    <w:name w:val="索引标题1"/>
    <w:basedOn w:val="1"/>
    <w:next w:val="324"/>
    <w:qFormat/>
    <w:uiPriority w:val="0"/>
  </w:style>
  <w:style w:type="paragraph" w:customStyle="1" w:styleId="324">
    <w:name w:val="索引 111"/>
    <w:basedOn w:val="1"/>
    <w:next w:val="1"/>
    <w:qFormat/>
    <w:uiPriority w:val="0"/>
  </w:style>
  <w:style w:type="paragraph" w:customStyle="1" w:styleId="325">
    <w:name w:val="脚注文本1"/>
    <w:basedOn w:val="1"/>
    <w:qFormat/>
    <w:uiPriority w:val="0"/>
    <w:pPr>
      <w:jc w:val="left"/>
    </w:pPr>
    <w:rPr>
      <w:rFonts w:ascii="宋体"/>
      <w:bCs/>
      <w:sz w:val="18"/>
      <w:szCs w:val="18"/>
    </w:rPr>
  </w:style>
  <w:style w:type="paragraph" w:customStyle="1" w:styleId="326">
    <w:name w:val="正文文本缩进 31"/>
    <w:basedOn w:val="1"/>
    <w:qFormat/>
    <w:uiPriority w:val="0"/>
    <w:pPr>
      <w:ind w:firstLine="213"/>
    </w:pPr>
    <w:rPr>
      <w:rFonts w:ascii="仿宋_GB2312" w:eastAsia="仿宋_GB2312"/>
      <w:sz w:val="30"/>
    </w:rPr>
  </w:style>
  <w:style w:type="paragraph" w:customStyle="1" w:styleId="327">
    <w:name w:val="索引 71"/>
    <w:basedOn w:val="1"/>
    <w:next w:val="1"/>
    <w:qFormat/>
    <w:uiPriority w:val="0"/>
    <w:pPr>
      <w:ind w:left="1200"/>
    </w:pPr>
  </w:style>
  <w:style w:type="paragraph" w:customStyle="1" w:styleId="328">
    <w:name w:val="索引 91"/>
    <w:basedOn w:val="1"/>
    <w:next w:val="1"/>
    <w:qFormat/>
    <w:uiPriority w:val="0"/>
    <w:pPr>
      <w:ind w:left="1600"/>
    </w:pPr>
  </w:style>
  <w:style w:type="paragraph" w:customStyle="1" w:styleId="329">
    <w:name w:val="图表目录11"/>
    <w:basedOn w:val="1"/>
    <w:next w:val="1"/>
    <w:qFormat/>
    <w:uiPriority w:val="0"/>
    <w:pPr>
      <w:widowControl/>
      <w:ind w:left="400" w:hanging="200"/>
      <w:jc w:val="left"/>
    </w:pPr>
    <w:rPr>
      <w:rFonts w:ascii="宋体"/>
      <w:bCs/>
      <w:szCs w:val="21"/>
    </w:rPr>
  </w:style>
  <w:style w:type="paragraph" w:customStyle="1" w:styleId="330">
    <w:name w:val="正文文本 21"/>
    <w:basedOn w:val="1"/>
    <w:qFormat/>
    <w:uiPriority w:val="0"/>
    <w:pPr>
      <w:spacing w:line="560" w:lineRule="exact"/>
    </w:pPr>
    <w:rPr>
      <w:rFonts w:ascii="仿宋_GB2312" w:eastAsia="仿宋_GB2312"/>
      <w:sz w:val="28"/>
      <w:szCs w:val="30"/>
    </w:rPr>
  </w:style>
  <w:style w:type="paragraph" w:customStyle="1" w:styleId="331">
    <w:name w:val="列表接续 21"/>
    <w:basedOn w:val="1"/>
    <w:qFormat/>
    <w:uiPriority w:val="0"/>
    <w:pPr>
      <w:spacing w:after="120"/>
      <w:ind w:left="840"/>
    </w:pPr>
  </w:style>
  <w:style w:type="paragraph" w:customStyle="1" w:styleId="33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33">
    <w:name w:val="普通(网站)1"/>
    <w:basedOn w:val="1"/>
    <w:qFormat/>
    <w:uiPriority w:val="0"/>
    <w:pPr>
      <w:widowControl/>
      <w:spacing w:before="100" w:beforeAutospacing="1" w:after="100" w:afterAutospacing="1"/>
      <w:jc w:val="left"/>
    </w:pPr>
    <w:rPr>
      <w:rFonts w:ascii="宋体"/>
      <w:sz w:val="24"/>
      <w:szCs w:val="20"/>
    </w:rPr>
  </w:style>
  <w:style w:type="paragraph" w:customStyle="1" w:styleId="334">
    <w:name w:val="索引 21"/>
    <w:basedOn w:val="1"/>
    <w:next w:val="1"/>
    <w:qFormat/>
    <w:uiPriority w:val="0"/>
    <w:pPr>
      <w:ind w:left="200"/>
    </w:pPr>
  </w:style>
  <w:style w:type="paragraph" w:customStyle="1" w:styleId="335">
    <w:name w:val="标题1"/>
    <w:basedOn w:val="1"/>
    <w:qFormat/>
    <w:uiPriority w:val="0"/>
    <w:pPr>
      <w:spacing w:before="240" w:after="60"/>
      <w:jc w:val="center"/>
      <w:outlineLvl w:val="0"/>
    </w:pPr>
    <w:rPr>
      <w:rFonts w:ascii="Cambria" w:hAnsi="Cambria"/>
      <w:b/>
      <w:bCs/>
      <w:sz w:val="32"/>
      <w:szCs w:val="32"/>
    </w:rPr>
  </w:style>
  <w:style w:type="paragraph" w:customStyle="1" w:styleId="336">
    <w:name w:val="批注主题1"/>
    <w:basedOn w:val="302"/>
    <w:next w:val="302"/>
    <w:qFormat/>
    <w:uiPriority w:val="0"/>
    <w:rPr>
      <w:b/>
    </w:rPr>
  </w:style>
  <w:style w:type="paragraph" w:customStyle="1" w:styleId="337">
    <w:name w:val="正文文本首行缩进1"/>
    <w:basedOn w:val="307"/>
    <w:qFormat/>
    <w:uiPriority w:val="0"/>
    <w:pPr>
      <w:spacing w:after="120" w:line="240" w:lineRule="auto"/>
      <w:ind w:firstLine="100"/>
    </w:pPr>
    <w:rPr>
      <w:rFonts w:ascii="Times New Roman" w:hAnsi="Times New Roman" w:eastAsia="宋体"/>
      <w:sz w:val="21"/>
    </w:rPr>
  </w:style>
  <w:style w:type="paragraph" w:customStyle="1" w:styleId="338">
    <w:name w:val="正文文本首行缩进 211"/>
    <w:basedOn w:val="138"/>
    <w:link w:val="339"/>
    <w:qFormat/>
    <w:uiPriority w:val="0"/>
    <w:pPr>
      <w:ind w:left="200" w:firstLine="200"/>
    </w:pPr>
    <w:rPr>
      <w:rFonts w:ascii="Times New Roman" w:hAnsi="Times New Roman"/>
      <w:sz w:val="24"/>
      <w:szCs w:val="24"/>
    </w:rPr>
  </w:style>
  <w:style w:type="character" w:customStyle="1" w:styleId="339">
    <w:name w:val="正文文本首行缩进 2 字符"/>
    <w:link w:val="338"/>
    <w:qFormat/>
    <w:uiPriority w:val="0"/>
    <w:rPr>
      <w:rFonts w:eastAsia="仿宋_GB2312"/>
      <w:sz w:val="24"/>
      <w:szCs w:val="24"/>
      <w:lang w:bidi="ar-SA"/>
    </w:rPr>
  </w:style>
  <w:style w:type="table" w:customStyle="1" w:styleId="340">
    <w:name w:val="网格型1"/>
    <w:basedOn w:val="292"/>
    <w:qFormat/>
    <w:uiPriority w:val="0"/>
    <w:tblPr>
      <w:tblCellMar>
        <w:top w:w="0" w:type="dxa"/>
        <w:left w:w="0" w:type="dxa"/>
        <w:bottom w:w="0" w:type="dxa"/>
        <w:right w:w="0" w:type="dxa"/>
      </w:tblCellMar>
    </w:tblPr>
  </w:style>
  <w:style w:type="character" w:customStyle="1" w:styleId="341">
    <w:name w:val="要点1"/>
    <w:qFormat/>
    <w:uiPriority w:val="0"/>
    <w:rPr>
      <w:b/>
    </w:rPr>
  </w:style>
  <w:style w:type="character" w:customStyle="1" w:styleId="342">
    <w:name w:val="尾注引用1"/>
    <w:qFormat/>
    <w:uiPriority w:val="0"/>
    <w:rPr>
      <w:vertAlign w:val="superscript"/>
    </w:rPr>
  </w:style>
  <w:style w:type="character" w:customStyle="1" w:styleId="343">
    <w:name w:val="页码1"/>
    <w:qFormat/>
    <w:uiPriority w:val="0"/>
  </w:style>
  <w:style w:type="character" w:customStyle="1" w:styleId="344">
    <w:name w:val="访问过的超链接1"/>
    <w:qFormat/>
    <w:uiPriority w:val="0"/>
    <w:rPr>
      <w:color w:val="800080"/>
      <w:u w:val="single"/>
    </w:rPr>
  </w:style>
  <w:style w:type="character" w:customStyle="1" w:styleId="345">
    <w:name w:val="强调1"/>
    <w:qFormat/>
    <w:uiPriority w:val="0"/>
    <w:rPr>
      <w:color w:val="CC0033"/>
    </w:rPr>
  </w:style>
  <w:style w:type="character" w:customStyle="1" w:styleId="346">
    <w:name w:val="HTML 打字机1"/>
    <w:qFormat/>
    <w:uiPriority w:val="0"/>
    <w:rPr>
      <w:rFonts w:ascii="宋体" w:eastAsia="宋体" w:cs="宋体"/>
      <w:sz w:val="24"/>
      <w:szCs w:val="24"/>
      <w:lang w:bidi="ar-SA"/>
    </w:rPr>
  </w:style>
  <w:style w:type="character" w:customStyle="1" w:styleId="347">
    <w:name w:val="超链接1"/>
    <w:qFormat/>
    <w:uiPriority w:val="99"/>
    <w:rPr>
      <w:color w:val="0000FF"/>
      <w:u w:val="single"/>
    </w:rPr>
  </w:style>
  <w:style w:type="character" w:customStyle="1" w:styleId="348">
    <w:name w:val="批注引用1"/>
    <w:qFormat/>
    <w:uiPriority w:val="0"/>
    <w:rPr>
      <w:sz w:val="21"/>
    </w:rPr>
  </w:style>
  <w:style w:type="character" w:customStyle="1" w:styleId="349">
    <w:name w:val="脚注引用1"/>
    <w:qFormat/>
    <w:uiPriority w:val="0"/>
    <w:rPr>
      <w:vertAlign w:val="superscript"/>
    </w:rPr>
  </w:style>
  <w:style w:type="paragraph" w:customStyle="1" w:styleId="350">
    <w:name w:val="正文（标记）"/>
    <w:basedOn w:val="1"/>
    <w:link w:val="351"/>
    <w:qFormat/>
    <w:uiPriority w:val="0"/>
    <w:pPr>
      <w:tabs>
        <w:tab w:val="left" w:pos="0"/>
        <w:tab w:val="left" w:pos="840"/>
      </w:tabs>
      <w:spacing w:before="50" w:after="50"/>
    </w:pPr>
    <w:rPr>
      <w:rFonts w:ascii="Times New Roman" w:hAnsi="Times New Roman"/>
      <w:sz w:val="24"/>
      <w:szCs w:val="24"/>
    </w:rPr>
  </w:style>
  <w:style w:type="character" w:customStyle="1" w:styleId="351">
    <w:name w:val="正文（标记） Char2"/>
    <w:link w:val="350"/>
    <w:qFormat/>
    <w:uiPriority w:val="0"/>
    <w:rPr>
      <w:sz w:val="24"/>
      <w:szCs w:val="24"/>
    </w:rPr>
  </w:style>
  <w:style w:type="character" w:customStyle="1" w:styleId="352">
    <w:name w:val="Char Char2"/>
    <w:qFormat/>
    <w:uiPriority w:val="0"/>
    <w:rPr>
      <w:sz w:val="18"/>
      <w:szCs w:val="18"/>
    </w:rPr>
  </w:style>
  <w:style w:type="character" w:customStyle="1" w:styleId="353">
    <w:name w:val="maywed421"/>
    <w:qFormat/>
    <w:uiPriority w:val="0"/>
    <w:rPr>
      <w:color w:val="366FB6"/>
      <w:u w:val="none"/>
    </w:rPr>
  </w:style>
  <w:style w:type="paragraph" w:customStyle="1" w:styleId="354">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55">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56">
    <w:name w:val="Comment Text Char"/>
    <w:qFormat/>
    <w:uiPriority w:val="0"/>
    <w:rPr>
      <w:rFonts w:cs="Times New Roman"/>
      <w:sz w:val="21"/>
      <w:szCs w:val="21"/>
      <w:lang w:bidi="ar-SA"/>
    </w:rPr>
  </w:style>
  <w:style w:type="character" w:customStyle="1" w:styleId="357">
    <w:name w:val="Footer Char"/>
    <w:qFormat/>
    <w:uiPriority w:val="0"/>
    <w:rPr>
      <w:rFonts w:eastAsia="宋体"/>
      <w:sz w:val="18"/>
      <w:lang w:val="en-US" w:eastAsia="zh-CN"/>
    </w:rPr>
  </w:style>
  <w:style w:type="character" w:customStyle="1" w:styleId="358">
    <w:name w:val="ca-41"/>
    <w:qFormat/>
    <w:uiPriority w:val="0"/>
    <w:rPr>
      <w:rFonts w:ascii="宋体" w:eastAsia="宋体"/>
      <w:b/>
      <w:bCs/>
      <w:color w:val="000000"/>
      <w:spacing w:val="-20"/>
      <w:sz w:val="21"/>
      <w:szCs w:val="21"/>
    </w:rPr>
  </w:style>
  <w:style w:type="character" w:customStyle="1" w:styleId="359">
    <w:name w:val="ca-1"/>
    <w:qFormat/>
    <w:uiPriority w:val="0"/>
  </w:style>
  <w:style w:type="character" w:customStyle="1" w:styleId="360">
    <w:name w:val="Plain Text Char"/>
    <w:qFormat/>
    <w:uiPriority w:val="0"/>
    <w:rPr>
      <w:rFonts w:ascii="宋体" w:eastAsia="宋体"/>
      <w:sz w:val="21"/>
      <w:lang w:val="en-US" w:eastAsia="zh-CN"/>
    </w:rPr>
  </w:style>
  <w:style w:type="character" w:customStyle="1" w:styleId="361">
    <w:name w:val="Header Char"/>
    <w:qFormat/>
    <w:uiPriority w:val="0"/>
    <w:rPr>
      <w:rFonts w:eastAsia="宋体"/>
      <w:sz w:val="18"/>
      <w:lang w:val="en-US" w:eastAsia="zh-CN"/>
    </w:rPr>
  </w:style>
  <w:style w:type="character" w:customStyle="1" w:styleId="362">
    <w:name w:val="marklong"/>
    <w:qFormat/>
    <w:uiPriority w:val="0"/>
  </w:style>
  <w:style w:type="character" w:customStyle="1" w:styleId="363">
    <w:name w:val="普通文字1 Char"/>
    <w:qFormat/>
    <w:uiPriority w:val="0"/>
    <w:rPr>
      <w:rFonts w:ascii="宋体" w:eastAsia="宋体" w:cs="Courier New"/>
      <w:sz w:val="21"/>
      <w:szCs w:val="21"/>
      <w:lang w:val="en-US" w:eastAsia="zh-CN" w:bidi="ar-SA"/>
    </w:rPr>
  </w:style>
  <w:style w:type="character" w:customStyle="1" w:styleId="364">
    <w:name w:val="ca-21"/>
    <w:qFormat/>
    <w:uiPriority w:val="0"/>
    <w:rPr>
      <w:rFonts w:ascii="宋体" w:eastAsia="宋体"/>
      <w:sz w:val="21"/>
    </w:rPr>
  </w:style>
  <w:style w:type="paragraph" w:customStyle="1" w:styleId="365">
    <w:name w:val="正文（缩进）"/>
    <w:basedOn w:val="1"/>
    <w:qFormat/>
    <w:uiPriority w:val="0"/>
    <w:pPr>
      <w:spacing w:before="50" w:after="50" w:line="360" w:lineRule="auto"/>
      <w:ind w:firstLine="200"/>
    </w:pPr>
    <w:rPr>
      <w:sz w:val="24"/>
    </w:rPr>
  </w:style>
  <w:style w:type="character" w:customStyle="1" w:styleId="366">
    <w:name w:val="Heading 3 Char"/>
    <w:qFormat/>
    <w:uiPriority w:val="0"/>
    <w:rPr>
      <w:rFonts w:cs="Times New Roman"/>
      <w:b/>
      <w:bCs/>
      <w:sz w:val="32"/>
      <w:szCs w:val="32"/>
      <w:lang w:bidi="ar-SA"/>
    </w:rPr>
  </w:style>
  <w:style w:type="character" w:customStyle="1" w:styleId="367">
    <w:name w:val="z12 style23"/>
    <w:qFormat/>
    <w:uiPriority w:val="0"/>
  </w:style>
  <w:style w:type="paragraph" w:customStyle="1" w:styleId="368">
    <w:name w:val="Indent Normal"/>
    <w:basedOn w:val="1"/>
    <w:qFormat/>
    <w:uiPriority w:val="0"/>
    <w:pPr>
      <w:ind w:firstLine="150"/>
    </w:pPr>
    <w:rPr>
      <w:sz w:val="24"/>
      <w:szCs w:val="20"/>
    </w:rPr>
  </w:style>
  <w:style w:type="character" w:customStyle="1" w:styleId="369">
    <w:name w:val="Char Char21"/>
    <w:qFormat/>
    <w:uiPriority w:val="0"/>
    <w:rPr>
      <w:sz w:val="18"/>
      <w:szCs w:val="18"/>
    </w:rPr>
  </w:style>
  <w:style w:type="character" w:customStyle="1" w:styleId="370">
    <w:name w:val="ca-31"/>
    <w:qFormat/>
    <w:uiPriority w:val="0"/>
    <w:rPr>
      <w:rFonts w:ascii="宋体" w:eastAsia="宋体"/>
      <w:color w:val="000000"/>
      <w:sz w:val="21"/>
      <w:szCs w:val="21"/>
    </w:rPr>
  </w:style>
  <w:style w:type="character" w:customStyle="1" w:styleId="371">
    <w:name w:val="apple-converted-space"/>
    <w:qFormat/>
    <w:uiPriority w:val="0"/>
  </w:style>
  <w:style w:type="character" w:customStyle="1" w:styleId="372">
    <w:name w:val="Char Char1"/>
    <w:qFormat/>
    <w:uiPriority w:val="0"/>
    <w:rPr>
      <w:rFonts w:ascii="宋体" w:eastAsia="宋体"/>
      <w:sz w:val="21"/>
      <w:lang w:val="en-US" w:eastAsia="zh-CN"/>
    </w:rPr>
  </w:style>
  <w:style w:type="character" w:customStyle="1" w:styleId="373">
    <w:name w:val="font21"/>
    <w:qFormat/>
    <w:uiPriority w:val="0"/>
    <w:rPr>
      <w:rFonts w:ascii="Times New Roman" w:hAnsi="Times New Roman"/>
      <w:color w:val="000000"/>
      <w:sz w:val="20"/>
      <w:u w:val="none"/>
    </w:rPr>
  </w:style>
  <w:style w:type="character" w:customStyle="1" w:styleId="374">
    <w:name w:val="ca-01"/>
    <w:qFormat/>
    <w:uiPriority w:val="0"/>
    <w:rPr>
      <w:rFonts w:ascii="宋体" w:eastAsia="宋体"/>
      <w:b/>
      <w:bCs/>
      <w:spacing w:val="-20"/>
      <w:sz w:val="24"/>
      <w:szCs w:val="24"/>
    </w:rPr>
  </w:style>
  <w:style w:type="character" w:customStyle="1" w:styleId="375">
    <w:name w:val="Char Char23"/>
    <w:qFormat/>
    <w:uiPriority w:val="0"/>
    <w:rPr>
      <w:sz w:val="24"/>
      <w:szCs w:val="21"/>
      <w:lang w:bidi="ar-SA"/>
    </w:rPr>
  </w:style>
  <w:style w:type="character" w:customStyle="1" w:styleId="376">
    <w:name w:val="Char Char"/>
    <w:qFormat/>
    <w:uiPriority w:val="0"/>
    <w:rPr>
      <w:rFonts w:eastAsia="宋体"/>
      <w:sz w:val="18"/>
      <w:lang w:val="en-US" w:eastAsia="zh-CN"/>
    </w:rPr>
  </w:style>
  <w:style w:type="character" w:customStyle="1" w:styleId="377">
    <w:name w:val="Char Char3"/>
    <w:qFormat/>
    <w:uiPriority w:val="0"/>
    <w:rPr>
      <w:rFonts w:ascii="宋体" w:eastAsia="宋体"/>
      <w:sz w:val="18"/>
      <w:szCs w:val="18"/>
      <w:lang w:val="en-US" w:eastAsia="zh-CN" w:bidi="ar-SA"/>
    </w:rPr>
  </w:style>
  <w:style w:type="paragraph" w:customStyle="1" w:styleId="378">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79">
    <w:name w:val="Heading 4 Char"/>
    <w:qFormat/>
    <w:uiPriority w:val="0"/>
    <w:rPr>
      <w:rFonts w:ascii="Cambria" w:hAnsi="Cambria" w:eastAsia="宋体" w:cs="Cambria"/>
      <w:b/>
      <w:bCs/>
      <w:sz w:val="28"/>
      <w:szCs w:val="28"/>
      <w:lang w:bidi="ar-SA"/>
    </w:rPr>
  </w:style>
  <w:style w:type="character" w:customStyle="1" w:styleId="380">
    <w:name w:val="Header Char1"/>
    <w:qFormat/>
    <w:uiPriority w:val="0"/>
    <w:rPr>
      <w:rFonts w:cs="Times New Roman"/>
      <w:sz w:val="18"/>
      <w:szCs w:val="18"/>
      <w:lang w:bidi="ar-SA"/>
    </w:rPr>
  </w:style>
  <w:style w:type="character" w:customStyle="1" w:styleId="381">
    <w:name w:val="Footer Char1"/>
    <w:qFormat/>
    <w:uiPriority w:val="0"/>
    <w:rPr>
      <w:rFonts w:cs="Times New Roman"/>
      <w:sz w:val="18"/>
      <w:szCs w:val="18"/>
      <w:lang w:bidi="ar-SA"/>
    </w:rPr>
  </w:style>
  <w:style w:type="character" w:customStyle="1" w:styleId="382">
    <w:name w:val="wj1"/>
    <w:qFormat/>
    <w:uiPriority w:val="0"/>
    <w:rPr>
      <w:color w:val="000000"/>
      <w:sz w:val="18"/>
      <w:szCs w:val="18"/>
      <w:u w:val="none"/>
    </w:rPr>
  </w:style>
  <w:style w:type="character" w:customStyle="1" w:styleId="383">
    <w:name w:val="ca-11"/>
    <w:qFormat/>
    <w:uiPriority w:val="0"/>
    <w:rPr>
      <w:rFonts w:ascii="宋体" w:eastAsia="宋体"/>
      <w:b/>
      <w:bCs/>
      <w:color w:val="000000"/>
      <w:spacing w:val="-20"/>
      <w:sz w:val="28"/>
      <w:szCs w:val="28"/>
    </w:rPr>
  </w:style>
  <w:style w:type="paragraph" w:customStyle="1" w:styleId="384">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85">
    <w:name w:val="Plain Text Char1"/>
    <w:qFormat/>
    <w:uiPriority w:val="0"/>
    <w:rPr>
      <w:rFonts w:ascii="宋体" w:eastAsia="宋体"/>
      <w:sz w:val="21"/>
      <w:szCs w:val="21"/>
      <w:lang w:val="en-US" w:eastAsia="zh-CN" w:bidi="ar-SA"/>
    </w:rPr>
  </w:style>
  <w:style w:type="character" w:customStyle="1" w:styleId="386">
    <w:name w:val="段落 Char"/>
    <w:qFormat/>
    <w:uiPriority w:val="0"/>
    <w:rPr>
      <w:rFonts w:ascii="仿宋_GB2312" w:eastAsia="仿宋_GB2312"/>
      <w:sz w:val="24"/>
      <w:szCs w:val="24"/>
      <w:lang w:val="en-US" w:eastAsia="zh-CN" w:bidi="ar-SA"/>
    </w:rPr>
  </w:style>
  <w:style w:type="character" w:customStyle="1" w:styleId="387">
    <w:name w:val="Heading 2 Char"/>
    <w:qFormat/>
    <w:uiPriority w:val="0"/>
    <w:rPr>
      <w:rFonts w:ascii="Arial" w:hAnsi="Arial" w:eastAsia="黑体"/>
      <w:b/>
      <w:bCs/>
      <w:sz w:val="32"/>
      <w:szCs w:val="32"/>
      <w:lang w:val="en-US" w:eastAsia="zh-CN" w:bidi="ar-SA"/>
    </w:rPr>
  </w:style>
  <w:style w:type="paragraph" w:customStyle="1" w:styleId="388">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89">
    <w:name w:val="Char Char31"/>
    <w:qFormat/>
    <w:uiPriority w:val="0"/>
    <w:rPr>
      <w:rFonts w:ascii="Arial" w:hAnsi="Arial" w:eastAsia="黑体" w:cs="Times New Roman"/>
      <w:b/>
      <w:bCs/>
      <w:sz w:val="32"/>
      <w:szCs w:val="32"/>
      <w:lang w:val="en-US" w:eastAsia="zh-CN" w:bidi="ar-SA"/>
    </w:rPr>
  </w:style>
  <w:style w:type="paragraph" w:customStyle="1" w:styleId="390">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91">
    <w:name w:val="ca-51"/>
    <w:qFormat/>
    <w:uiPriority w:val="0"/>
    <w:rPr>
      <w:rFonts w:ascii="楷体_GB2312" w:eastAsia="楷体_GB2312"/>
      <w:b/>
      <w:bCs/>
      <w:spacing w:val="-20"/>
      <w:sz w:val="24"/>
      <w:szCs w:val="24"/>
    </w:rPr>
  </w:style>
  <w:style w:type="paragraph" w:customStyle="1" w:styleId="392">
    <w:name w:val="加点正文缩进"/>
    <w:basedOn w:val="1"/>
    <w:qFormat/>
    <w:uiPriority w:val="0"/>
    <w:pPr>
      <w:tabs>
        <w:tab w:val="left" w:pos="840"/>
      </w:tabs>
      <w:spacing w:line="300" w:lineRule="auto"/>
      <w:ind w:left="962" w:hanging="480"/>
    </w:pPr>
    <w:rPr>
      <w:sz w:val="24"/>
    </w:rPr>
  </w:style>
  <w:style w:type="paragraph" w:customStyle="1" w:styleId="393">
    <w:name w:val="默认段落字体 Para Char Char Char Char Char Char Char Char Char Char Char Char Char Char"/>
    <w:basedOn w:val="301"/>
    <w:qFormat/>
    <w:uiPriority w:val="0"/>
    <w:rPr>
      <w:rFonts w:ascii="Tahoma" w:hAnsi="Tahoma"/>
      <w:sz w:val="24"/>
    </w:rPr>
  </w:style>
  <w:style w:type="paragraph" w:customStyle="1" w:styleId="394">
    <w:name w:val="列表段落1"/>
    <w:basedOn w:val="1"/>
    <w:qFormat/>
    <w:uiPriority w:val="0"/>
    <w:pPr>
      <w:ind w:firstLine="200"/>
    </w:pPr>
  </w:style>
  <w:style w:type="paragraph" w:customStyle="1" w:styleId="395">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96">
    <w:name w:val="Char"/>
    <w:basedOn w:val="1"/>
    <w:qFormat/>
    <w:uiPriority w:val="0"/>
    <w:pPr>
      <w:tabs>
        <w:tab w:val="left" w:pos="360"/>
      </w:tabs>
    </w:pPr>
    <w:rPr>
      <w:rFonts w:ascii="仿宋_GB2312" w:eastAsia="仿宋_GB2312"/>
      <w:b/>
      <w:sz w:val="24"/>
    </w:rPr>
  </w:style>
  <w:style w:type="paragraph" w:customStyle="1" w:styleId="39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8">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9">
    <w:name w:val="Char Char Char"/>
    <w:basedOn w:val="1"/>
    <w:qFormat/>
    <w:uiPriority w:val="0"/>
    <w:rPr>
      <w:rFonts w:ascii="Tahoma" w:hAnsi="Tahoma"/>
      <w:sz w:val="24"/>
      <w:szCs w:val="20"/>
    </w:rPr>
  </w:style>
  <w:style w:type="paragraph" w:customStyle="1" w:styleId="400">
    <w:name w:val="Char12"/>
    <w:basedOn w:val="1"/>
    <w:qFormat/>
    <w:uiPriority w:val="0"/>
    <w:pPr>
      <w:tabs>
        <w:tab w:val="left" w:pos="360"/>
      </w:tabs>
      <w:spacing w:line="480" w:lineRule="auto"/>
      <w:ind w:left="360" w:right="202" w:firstLine="360"/>
    </w:pPr>
    <w:rPr>
      <w:sz w:val="24"/>
    </w:rPr>
  </w:style>
  <w:style w:type="paragraph" w:customStyle="1" w:styleId="401">
    <w:name w:val="Char Char Char Char Char Char Char Char Char Char"/>
    <w:basedOn w:val="1"/>
    <w:qFormat/>
    <w:uiPriority w:val="0"/>
    <w:rPr>
      <w:rFonts w:ascii="Tahoma" w:hAnsi="Tahoma"/>
      <w:sz w:val="24"/>
      <w:szCs w:val="20"/>
    </w:rPr>
  </w:style>
  <w:style w:type="paragraph" w:customStyle="1" w:styleId="402">
    <w:name w:val="正文段"/>
    <w:basedOn w:val="1"/>
    <w:qFormat/>
    <w:uiPriority w:val="0"/>
    <w:pPr>
      <w:widowControl/>
      <w:spacing w:after="240" w:line="240" w:lineRule="atLeast"/>
      <w:ind w:firstLine="425"/>
    </w:pPr>
    <w:rPr>
      <w:sz w:val="24"/>
      <w:szCs w:val="20"/>
    </w:rPr>
  </w:style>
  <w:style w:type="paragraph" w:customStyle="1" w:styleId="403">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04">
    <w:name w:val="Char Char Char Char Char Char Char Char Char Char1"/>
    <w:basedOn w:val="1"/>
    <w:qFormat/>
    <w:uiPriority w:val="0"/>
    <w:rPr>
      <w:rFonts w:ascii="Tahoma" w:hAnsi="Tahoma" w:cs="Tahoma"/>
      <w:sz w:val="24"/>
    </w:rPr>
  </w:style>
  <w:style w:type="paragraph" w:customStyle="1" w:styleId="405">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06">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0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8">
    <w:name w:val="pa-0"/>
    <w:basedOn w:val="1"/>
    <w:qFormat/>
    <w:uiPriority w:val="0"/>
    <w:pPr>
      <w:widowControl/>
      <w:spacing w:line="360" w:lineRule="atLeast"/>
      <w:ind w:firstLine="480"/>
    </w:pPr>
    <w:rPr>
      <w:rFonts w:ascii="宋体" w:cs="宋体"/>
      <w:sz w:val="24"/>
    </w:rPr>
  </w:style>
  <w:style w:type="paragraph" w:customStyle="1" w:styleId="409">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410">
    <w:name w:val="三级条标题"/>
    <w:basedOn w:val="411"/>
    <w:next w:val="403"/>
    <w:qFormat/>
    <w:uiPriority w:val="0"/>
    <w:pPr>
      <w:ind w:left="1050"/>
      <w:outlineLvl w:val="4"/>
    </w:pPr>
  </w:style>
  <w:style w:type="paragraph" w:customStyle="1" w:styleId="411">
    <w:name w:val="二级条标题"/>
    <w:basedOn w:val="412"/>
    <w:next w:val="403"/>
    <w:qFormat/>
    <w:uiPriority w:val="0"/>
    <w:pPr>
      <w:ind w:left="360"/>
      <w:outlineLvl w:val="3"/>
    </w:pPr>
  </w:style>
  <w:style w:type="paragraph" w:customStyle="1" w:styleId="412">
    <w:name w:val="一级条标题"/>
    <w:next w:val="403"/>
    <w:qFormat/>
    <w:uiPriority w:val="0"/>
    <w:pPr>
      <w:outlineLvl w:val="2"/>
    </w:pPr>
    <w:rPr>
      <w:rFonts w:hint="default" w:ascii="Times New Roman" w:hAnsi="Times New Roman" w:eastAsia="黑体" w:cs="Times New Roman"/>
      <w:sz w:val="21"/>
      <w:lang w:val="en-US" w:eastAsia="zh-CN" w:bidi="ar-SA"/>
    </w:rPr>
  </w:style>
  <w:style w:type="paragraph" w:customStyle="1" w:styleId="413">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14">
    <w:name w:val="表文1"/>
    <w:basedOn w:val="1"/>
    <w:qFormat/>
    <w:uiPriority w:val="0"/>
    <w:pPr>
      <w:widowControl/>
      <w:spacing w:line="360" w:lineRule="auto"/>
      <w:ind w:firstLine="196"/>
    </w:pPr>
    <w:rPr>
      <w:rFonts w:ascii="宋体"/>
      <w:sz w:val="24"/>
    </w:rPr>
  </w:style>
  <w:style w:type="paragraph" w:customStyle="1" w:styleId="415">
    <w:name w:val="表内容"/>
    <w:basedOn w:val="416"/>
    <w:qFormat/>
    <w:uiPriority w:val="0"/>
    <w:pPr>
      <w:spacing w:line="320" w:lineRule="exact"/>
      <w:ind w:left="0" w:firstLine="0"/>
    </w:pPr>
    <w:rPr>
      <w:sz w:val="20"/>
    </w:rPr>
  </w:style>
  <w:style w:type="paragraph" w:customStyle="1" w:styleId="416">
    <w:name w:val="正文11"/>
    <w:basedOn w:val="1"/>
    <w:qFormat/>
    <w:uiPriority w:val="0"/>
    <w:pPr>
      <w:widowControl/>
      <w:spacing w:line="360" w:lineRule="auto"/>
      <w:ind w:left="357" w:firstLine="420"/>
      <w:jc w:val="left"/>
    </w:pPr>
    <w:rPr>
      <w:rFonts w:cs="Arial"/>
      <w:szCs w:val="20"/>
    </w:rPr>
  </w:style>
  <w:style w:type="paragraph" w:customStyle="1" w:styleId="417">
    <w:name w:val="Char Char1 Char Char Char Char Char Char"/>
    <w:basedOn w:val="1"/>
    <w:qFormat/>
    <w:uiPriority w:val="0"/>
    <w:pPr>
      <w:widowControl/>
      <w:jc w:val="center"/>
    </w:pPr>
    <w:rPr>
      <w:szCs w:val="20"/>
    </w:rPr>
  </w:style>
  <w:style w:type="paragraph" w:customStyle="1" w:styleId="41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9">
    <w:name w:val="普通正文"/>
    <w:basedOn w:val="1"/>
    <w:qFormat/>
    <w:uiPriority w:val="0"/>
    <w:pPr>
      <w:ind w:firstLine="425"/>
      <w:jc w:val="left"/>
    </w:pPr>
    <w:rPr>
      <w:rFonts w:ascii="宋体"/>
      <w:sz w:val="20"/>
      <w:szCs w:val="20"/>
    </w:rPr>
  </w:style>
  <w:style w:type="paragraph" w:customStyle="1" w:styleId="420">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21">
    <w:name w:val="附图标题"/>
    <w:basedOn w:val="297"/>
    <w:next w:val="296"/>
    <w:qFormat/>
    <w:uiPriority w:val="0"/>
    <w:pPr>
      <w:tabs>
        <w:tab w:val="left" w:pos="780"/>
      </w:tabs>
      <w:spacing w:after="100"/>
      <w:ind w:left="780" w:hanging="480"/>
      <w:jc w:val="center"/>
    </w:pPr>
    <w:rPr>
      <w:b/>
      <w:sz w:val="21"/>
    </w:rPr>
  </w:style>
  <w:style w:type="paragraph" w:customStyle="1" w:styleId="42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23">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24">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2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2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27">
    <w:name w:val="Char1"/>
    <w:basedOn w:val="1"/>
    <w:qFormat/>
    <w:uiPriority w:val="0"/>
    <w:pPr>
      <w:tabs>
        <w:tab w:val="left" w:pos="360"/>
      </w:tabs>
      <w:spacing w:line="480" w:lineRule="auto"/>
      <w:ind w:left="360" w:right="202" w:firstLine="360"/>
    </w:pPr>
    <w:rPr>
      <w:sz w:val="24"/>
    </w:rPr>
  </w:style>
  <w:style w:type="paragraph" w:customStyle="1" w:styleId="428">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29">
    <w:name w:val="pa-10"/>
    <w:basedOn w:val="1"/>
    <w:qFormat/>
    <w:uiPriority w:val="0"/>
    <w:pPr>
      <w:widowControl/>
      <w:spacing w:line="240" w:lineRule="atLeast"/>
    </w:pPr>
    <w:rPr>
      <w:rFonts w:ascii="宋体" w:cs="宋体"/>
      <w:sz w:val="24"/>
    </w:rPr>
  </w:style>
  <w:style w:type="paragraph" w:customStyle="1" w:styleId="430">
    <w:name w:val="特点"/>
    <w:basedOn w:val="1"/>
    <w:next w:val="1"/>
    <w:qFormat/>
    <w:uiPriority w:val="0"/>
    <w:pPr>
      <w:spacing w:line="360" w:lineRule="auto"/>
      <w:jc w:val="center"/>
    </w:pPr>
    <w:rPr>
      <w:rFonts w:ascii="Arial" w:hAnsi="Arial"/>
      <w:sz w:val="24"/>
      <w:szCs w:val="20"/>
    </w:rPr>
  </w:style>
  <w:style w:type="paragraph" w:customStyle="1" w:styleId="431">
    <w:name w:val="pa-4"/>
    <w:basedOn w:val="1"/>
    <w:qFormat/>
    <w:uiPriority w:val="0"/>
    <w:pPr>
      <w:widowControl/>
      <w:spacing w:line="280" w:lineRule="atLeast"/>
      <w:jc w:val="center"/>
    </w:pPr>
    <w:rPr>
      <w:rFonts w:ascii="宋体" w:cs="宋体"/>
      <w:sz w:val="24"/>
    </w:rPr>
  </w:style>
  <w:style w:type="paragraph" w:customStyle="1" w:styleId="432">
    <w:name w:val="编号"/>
    <w:basedOn w:val="1"/>
    <w:next w:val="378"/>
    <w:qFormat/>
    <w:uiPriority w:val="0"/>
    <w:pPr>
      <w:widowControl/>
      <w:tabs>
        <w:tab w:val="left" w:pos="420"/>
      </w:tabs>
      <w:ind w:left="420" w:right="-136" w:hanging="420"/>
    </w:pPr>
    <w:rPr>
      <w:rFonts w:ascii="仿宋_GB2312" w:eastAsia="仿宋_GB2312"/>
      <w:b/>
      <w:bCs/>
      <w:sz w:val="24"/>
      <w:szCs w:val="21"/>
    </w:rPr>
  </w:style>
  <w:style w:type="paragraph" w:customStyle="1" w:styleId="433">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34">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35">
    <w:name w:val="编号1"/>
    <w:next w:val="378"/>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3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7">
    <w:name w:val="CM17"/>
    <w:basedOn w:val="1"/>
    <w:next w:val="1"/>
    <w:qFormat/>
    <w:uiPriority w:val="0"/>
    <w:pPr>
      <w:spacing w:after="273" w:line="360" w:lineRule="auto"/>
      <w:jc w:val="left"/>
    </w:pPr>
    <w:rPr>
      <w:rFonts w:ascii="宋体"/>
      <w:sz w:val="24"/>
    </w:rPr>
  </w:style>
  <w:style w:type="paragraph" w:customStyle="1" w:styleId="438">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9">
    <w:name w:val="参考资料清单+倾斜+蓝色"/>
    <w:basedOn w:val="1"/>
    <w:qFormat/>
    <w:uiPriority w:val="0"/>
    <w:pPr>
      <w:spacing w:line="360" w:lineRule="auto"/>
    </w:pPr>
    <w:rPr>
      <w:rFonts w:ascii="Arial" w:hAnsi="Arial"/>
      <w:i/>
      <w:iCs/>
      <w:color w:val="0000FF"/>
      <w:szCs w:val="21"/>
    </w:rPr>
  </w:style>
  <w:style w:type="paragraph" w:customStyle="1" w:styleId="440">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41">
    <w:name w:val="pa-8"/>
    <w:basedOn w:val="1"/>
    <w:qFormat/>
    <w:uiPriority w:val="0"/>
    <w:pPr>
      <w:widowControl/>
      <w:spacing w:line="280" w:lineRule="atLeast"/>
      <w:ind w:firstLine="480"/>
    </w:pPr>
    <w:rPr>
      <w:rFonts w:ascii="宋体" w:cs="宋体"/>
      <w:sz w:val="24"/>
    </w:rPr>
  </w:style>
  <w:style w:type="paragraph" w:customStyle="1" w:styleId="442">
    <w:name w:val="标书2"/>
    <w:next w:val="378"/>
    <w:qFormat/>
    <w:uiPriority w:val="0"/>
    <w:rPr>
      <w:rFonts w:hint="default" w:ascii="Times New Roman" w:hAnsi="Times New Roman" w:eastAsia="黑体" w:cs="宋体"/>
      <w:b/>
      <w:sz w:val="44"/>
      <w:lang w:val="en-US" w:eastAsia="zh-CN" w:bidi="ar-SA"/>
    </w:rPr>
  </w:style>
  <w:style w:type="paragraph" w:customStyle="1" w:styleId="443">
    <w:name w:val="表格文字"/>
    <w:basedOn w:val="1"/>
    <w:qFormat/>
    <w:uiPriority w:val="0"/>
    <w:pPr>
      <w:jc w:val="left"/>
    </w:pPr>
    <w:rPr>
      <w:sz w:val="18"/>
    </w:rPr>
  </w:style>
  <w:style w:type="paragraph" w:customStyle="1" w:styleId="444">
    <w:name w:val="首页空格"/>
    <w:qFormat/>
    <w:uiPriority w:val="0"/>
    <w:pPr>
      <w:jc w:val="center"/>
    </w:pPr>
    <w:rPr>
      <w:rFonts w:hint="default" w:ascii="Times New Roman" w:hAnsi="Times New Roman" w:eastAsia="宋体" w:cs="宋体"/>
      <w:sz w:val="72"/>
      <w:lang w:val="en-US" w:eastAsia="zh-CN" w:bidi="ar-SA"/>
    </w:rPr>
  </w:style>
  <w:style w:type="paragraph" w:customStyle="1" w:styleId="445">
    <w:name w:val="保密事宜格式"/>
    <w:basedOn w:val="297"/>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46">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47">
    <w:name w:val="È±Ê¡ÎÄ±¾"/>
    <w:basedOn w:val="1"/>
    <w:qFormat/>
    <w:uiPriority w:val="0"/>
    <w:pPr>
      <w:widowControl/>
      <w:spacing w:line="360" w:lineRule="auto"/>
      <w:jc w:val="left"/>
    </w:pPr>
    <w:rPr>
      <w:sz w:val="24"/>
      <w:szCs w:val="20"/>
    </w:rPr>
  </w:style>
  <w:style w:type="paragraph" w:customStyle="1" w:styleId="448">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50">
    <w:name w:val="附图居中"/>
    <w:basedOn w:val="1"/>
    <w:next w:val="421"/>
    <w:qFormat/>
    <w:uiPriority w:val="0"/>
    <w:pPr>
      <w:keepNext/>
      <w:tabs>
        <w:tab w:val="left" w:pos="0"/>
      </w:tabs>
      <w:spacing w:line="360" w:lineRule="auto"/>
      <w:ind w:left="1271" w:hanging="420"/>
      <w:jc w:val="center"/>
    </w:pPr>
    <w:rPr>
      <w:caps/>
      <w:sz w:val="24"/>
    </w:rPr>
  </w:style>
  <w:style w:type="paragraph" w:customStyle="1" w:styleId="451">
    <w:name w:val="pa-6"/>
    <w:basedOn w:val="1"/>
    <w:qFormat/>
    <w:uiPriority w:val="0"/>
    <w:pPr>
      <w:widowControl/>
      <w:spacing w:line="360" w:lineRule="atLeast"/>
    </w:pPr>
    <w:rPr>
      <w:rFonts w:ascii="宋体"/>
      <w:sz w:val="24"/>
      <w:szCs w:val="20"/>
    </w:rPr>
  </w:style>
  <w:style w:type="paragraph" w:customStyle="1" w:styleId="452">
    <w:name w:val="规范正文"/>
    <w:basedOn w:val="1"/>
    <w:qFormat/>
    <w:uiPriority w:val="0"/>
    <w:pPr>
      <w:spacing w:line="360" w:lineRule="auto"/>
      <w:ind w:left="480"/>
    </w:pPr>
    <w:rPr>
      <w:sz w:val="24"/>
      <w:szCs w:val="20"/>
    </w:rPr>
  </w:style>
  <w:style w:type="paragraph" w:customStyle="1" w:styleId="453">
    <w:name w:val="font7"/>
    <w:basedOn w:val="1"/>
    <w:qFormat/>
    <w:uiPriority w:val="0"/>
    <w:pPr>
      <w:widowControl/>
      <w:spacing w:before="100" w:beforeAutospacing="1" w:after="100" w:afterAutospacing="1"/>
      <w:jc w:val="left"/>
    </w:pPr>
    <w:rPr>
      <w:rFonts w:ascii="宋体"/>
      <w:sz w:val="20"/>
      <w:szCs w:val="20"/>
    </w:rPr>
  </w:style>
  <w:style w:type="paragraph" w:customStyle="1" w:styleId="454">
    <w:name w:val="缺省文本"/>
    <w:basedOn w:val="1"/>
    <w:qFormat/>
    <w:uiPriority w:val="0"/>
    <w:pPr>
      <w:jc w:val="left"/>
    </w:pPr>
    <w:rPr>
      <w:sz w:val="24"/>
      <w:szCs w:val="20"/>
    </w:rPr>
  </w:style>
  <w:style w:type="paragraph" w:customStyle="1" w:styleId="455">
    <w:name w:val="序号-----------"/>
    <w:basedOn w:val="1"/>
    <w:qFormat/>
    <w:uiPriority w:val="0"/>
    <w:pPr>
      <w:widowControl/>
      <w:jc w:val="left"/>
    </w:pPr>
    <w:rPr>
      <w:rFonts w:ascii="宋体"/>
      <w:bCs/>
      <w:szCs w:val="21"/>
    </w:rPr>
  </w:style>
  <w:style w:type="paragraph" w:customStyle="1" w:styleId="456">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57">
    <w:name w:val="表格标题"/>
    <w:basedOn w:val="1"/>
    <w:qFormat/>
    <w:uiPriority w:val="0"/>
    <w:pPr>
      <w:jc w:val="center"/>
    </w:pPr>
    <w:rPr>
      <w:b/>
    </w:rPr>
  </w:style>
  <w:style w:type="paragraph" w:customStyle="1" w:styleId="458">
    <w:name w:val="章标题"/>
    <w:next w:val="403"/>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59">
    <w:name w:val="首页单位日期"/>
    <w:basedOn w:val="1"/>
    <w:qFormat/>
    <w:uiPriority w:val="0"/>
    <w:pPr>
      <w:widowControl/>
      <w:jc w:val="center"/>
    </w:pPr>
    <w:rPr>
      <w:rFonts w:ascii="宋体" w:cs="宋体"/>
      <w:bCs/>
      <w:sz w:val="28"/>
      <w:szCs w:val="20"/>
    </w:rPr>
  </w:style>
  <w:style w:type="paragraph" w:customStyle="1" w:styleId="460">
    <w:name w:val="样式 正文缩进 + (中文) 仿宋_GB2312 小四 Char"/>
    <w:basedOn w:val="296"/>
    <w:qFormat/>
    <w:uiPriority w:val="0"/>
    <w:pPr>
      <w:spacing w:line="360" w:lineRule="auto"/>
      <w:ind w:firstLine="200"/>
    </w:pPr>
    <w:rPr>
      <w:szCs w:val="24"/>
    </w:rPr>
  </w:style>
  <w:style w:type="paragraph" w:customStyle="1" w:styleId="461">
    <w:name w:val="项目"/>
    <w:basedOn w:val="1"/>
    <w:qFormat/>
    <w:uiPriority w:val="0"/>
    <w:pPr>
      <w:tabs>
        <w:tab w:val="left" w:pos="840"/>
      </w:tabs>
      <w:spacing w:before="60" w:after="60" w:line="360" w:lineRule="auto"/>
      <w:ind w:left="840" w:hanging="420"/>
    </w:pPr>
    <w:rPr>
      <w:rFonts w:ascii="宋体"/>
      <w:szCs w:val="20"/>
    </w:rPr>
  </w:style>
  <w:style w:type="paragraph" w:customStyle="1" w:styleId="462">
    <w:name w:val="默认段落字体 Para Char"/>
    <w:basedOn w:val="1"/>
    <w:qFormat/>
    <w:uiPriority w:val="0"/>
    <w:rPr>
      <w:rFonts w:ascii="宋体"/>
      <w:b/>
      <w:sz w:val="28"/>
      <w:szCs w:val="28"/>
    </w:rPr>
  </w:style>
  <w:style w:type="paragraph" w:customStyle="1" w:styleId="463">
    <w:name w:val="篇名"/>
    <w:next w:val="110"/>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64">
    <w:name w:val="Char13"/>
    <w:basedOn w:val="1"/>
    <w:qFormat/>
    <w:uiPriority w:val="0"/>
  </w:style>
  <w:style w:type="paragraph" w:customStyle="1" w:styleId="465">
    <w:name w:val="表头"/>
    <w:basedOn w:val="416"/>
    <w:qFormat/>
    <w:uiPriority w:val="0"/>
    <w:pPr>
      <w:spacing w:line="240" w:lineRule="auto"/>
      <w:ind w:left="0" w:firstLine="0"/>
    </w:pPr>
    <w:rPr>
      <w:sz w:val="20"/>
    </w:rPr>
  </w:style>
  <w:style w:type="paragraph" w:customStyle="1" w:styleId="466">
    <w:name w:val="表格序号"/>
    <w:qFormat/>
    <w:uiPriority w:val="0"/>
    <w:rPr>
      <w:rFonts w:hint="default" w:ascii="Times New Roman" w:hAnsi="Times New Roman" w:eastAsia="仿宋_GB2312" w:cs="宋体"/>
      <w:sz w:val="21"/>
      <w:lang w:val="en-US" w:eastAsia="zh-CN" w:bidi="ar-SA"/>
    </w:rPr>
  </w:style>
  <w:style w:type="paragraph" w:customStyle="1" w:styleId="467">
    <w:name w:val="Char Char Char Char1"/>
    <w:basedOn w:val="1"/>
    <w:qFormat/>
    <w:uiPriority w:val="0"/>
    <w:pPr>
      <w:spacing w:line="360" w:lineRule="auto"/>
      <w:ind w:firstLine="200"/>
    </w:pPr>
    <w:rPr>
      <w:sz w:val="24"/>
      <w:szCs w:val="20"/>
    </w:rPr>
  </w:style>
  <w:style w:type="paragraph" w:customStyle="1" w:styleId="468">
    <w:name w:val="标书3"/>
    <w:next w:val="378"/>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69">
    <w:name w:val="首页小标题"/>
    <w:next w:val="444"/>
    <w:qFormat/>
    <w:uiPriority w:val="0"/>
    <w:pPr>
      <w:jc w:val="center"/>
    </w:pPr>
    <w:rPr>
      <w:rFonts w:hint="default" w:ascii="Times New Roman" w:hAnsi="Times New Roman" w:eastAsia="宋体" w:cs="宋体"/>
      <w:sz w:val="44"/>
      <w:lang w:val="en-US" w:eastAsia="zh-CN" w:bidi="ar-SA"/>
    </w:rPr>
  </w:style>
  <w:style w:type="paragraph" w:customStyle="1" w:styleId="470">
    <w:name w:val="新段落缩进"/>
    <w:basedOn w:val="1"/>
    <w:qFormat/>
    <w:uiPriority w:val="0"/>
    <w:pPr>
      <w:spacing w:line="400" w:lineRule="exact"/>
      <w:ind w:firstLine="200"/>
    </w:pPr>
    <w:rPr>
      <w:rFonts w:ascii="仿宋_GB2312" w:eastAsia="仿宋_GB2312"/>
      <w:sz w:val="24"/>
    </w:rPr>
  </w:style>
  <w:style w:type="paragraph" w:customStyle="1" w:styleId="471">
    <w:name w:val="pa-2"/>
    <w:basedOn w:val="1"/>
    <w:qFormat/>
    <w:uiPriority w:val="0"/>
    <w:pPr>
      <w:widowControl/>
      <w:spacing w:line="360" w:lineRule="atLeast"/>
    </w:pPr>
    <w:rPr>
      <w:rFonts w:ascii="宋体" w:cs="宋体"/>
      <w:sz w:val="24"/>
    </w:rPr>
  </w:style>
  <w:style w:type="paragraph" w:customStyle="1" w:styleId="472">
    <w:name w:val="四级条标题"/>
    <w:basedOn w:val="410"/>
    <w:next w:val="403"/>
    <w:qFormat/>
    <w:uiPriority w:val="0"/>
    <w:pPr>
      <w:ind w:left="0"/>
      <w:outlineLvl w:val="5"/>
    </w:pPr>
  </w:style>
  <w:style w:type="paragraph" w:customStyle="1" w:styleId="473">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7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5">
    <w:name w:val="Char1 Char Char Char"/>
    <w:basedOn w:val="1"/>
    <w:qFormat/>
    <w:uiPriority w:val="0"/>
    <w:rPr>
      <w:szCs w:val="20"/>
    </w:rPr>
  </w:style>
  <w:style w:type="paragraph" w:customStyle="1" w:styleId="476">
    <w:name w:val="正文 + 宋体"/>
    <w:basedOn w:val="1"/>
    <w:qFormat/>
    <w:uiPriority w:val="0"/>
    <w:pPr>
      <w:ind w:firstLine="250"/>
    </w:pPr>
    <w:rPr>
      <w:rFonts w:ascii="宋体"/>
      <w:szCs w:val="21"/>
    </w:rPr>
  </w:style>
  <w:style w:type="paragraph" w:customStyle="1" w:styleId="477">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78">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79">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80">
    <w:name w:val="txt"/>
    <w:basedOn w:val="1"/>
    <w:qFormat/>
    <w:uiPriority w:val="0"/>
    <w:pPr>
      <w:widowControl/>
      <w:spacing w:before="100" w:beforeAutospacing="1" w:after="100" w:afterAutospacing="1"/>
      <w:jc w:val="left"/>
    </w:pPr>
    <w:rPr>
      <w:rFonts w:ascii="宋体" w:cs="宋体"/>
      <w:sz w:val="24"/>
    </w:rPr>
  </w:style>
  <w:style w:type="paragraph" w:customStyle="1" w:styleId="481">
    <w:name w:val="样式1"/>
    <w:basedOn w:val="295"/>
    <w:next w:val="1"/>
    <w:qFormat/>
    <w:uiPriority w:val="0"/>
    <w:rPr>
      <w:rFonts w:ascii="Arial" w:hAnsi="Arial" w:eastAsia="幼圆" w:cs="Arial"/>
      <w:sz w:val="24"/>
      <w:szCs w:val="20"/>
    </w:rPr>
  </w:style>
  <w:style w:type="paragraph" w:customStyle="1" w:styleId="48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83">
    <w:name w:val="列表段落11"/>
    <w:basedOn w:val="1"/>
    <w:qFormat/>
    <w:uiPriority w:val="0"/>
    <w:pPr>
      <w:ind w:firstLine="420"/>
    </w:pPr>
  </w:style>
  <w:style w:type="paragraph" w:customStyle="1" w:styleId="484">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85">
    <w:name w:val="样式 序号----------- + 仿宋_GB2312"/>
    <w:basedOn w:val="455"/>
    <w:qFormat/>
    <w:uiPriority w:val="0"/>
    <w:pPr>
      <w:spacing w:line="360" w:lineRule="auto"/>
      <w:ind w:firstLine="200"/>
    </w:pPr>
    <w:rPr>
      <w:rFonts w:ascii="仿宋_GB2312" w:eastAsia="仿宋_GB2312"/>
      <w:bCs w:val="0"/>
    </w:rPr>
  </w:style>
  <w:style w:type="paragraph" w:customStyle="1" w:styleId="486">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87">
    <w:name w:val="Char11"/>
    <w:basedOn w:val="1"/>
    <w:qFormat/>
    <w:uiPriority w:val="0"/>
    <w:rPr>
      <w:szCs w:val="21"/>
    </w:rPr>
  </w:style>
  <w:style w:type="paragraph" w:customStyle="1" w:styleId="488">
    <w:name w:val="样式 序号----------- + 仿宋_GB23121"/>
    <w:basedOn w:val="455"/>
    <w:qFormat/>
    <w:uiPriority w:val="0"/>
    <w:pPr>
      <w:spacing w:line="360" w:lineRule="auto"/>
    </w:pPr>
    <w:rPr>
      <w:rFonts w:ascii="仿宋_GB2312" w:eastAsia="仿宋_GB2312"/>
      <w:bCs w:val="0"/>
    </w:rPr>
  </w:style>
  <w:style w:type="paragraph" w:customStyle="1" w:styleId="489">
    <w:name w:val="pa-9"/>
    <w:basedOn w:val="1"/>
    <w:qFormat/>
    <w:uiPriority w:val="0"/>
    <w:pPr>
      <w:widowControl/>
      <w:spacing w:line="360" w:lineRule="atLeast"/>
      <w:jc w:val="center"/>
    </w:pPr>
    <w:rPr>
      <w:rFonts w:ascii="宋体" w:cs="宋体"/>
      <w:sz w:val="24"/>
    </w:rPr>
  </w:style>
  <w:style w:type="paragraph" w:customStyle="1" w:styleId="490">
    <w:name w:val="pa-3"/>
    <w:basedOn w:val="1"/>
    <w:qFormat/>
    <w:uiPriority w:val="0"/>
    <w:pPr>
      <w:widowControl/>
      <w:spacing w:before="150" w:after="150"/>
      <w:jc w:val="left"/>
    </w:pPr>
    <w:rPr>
      <w:rFonts w:ascii="宋体" w:cs="宋体"/>
      <w:sz w:val="24"/>
    </w:rPr>
  </w:style>
  <w:style w:type="paragraph" w:customStyle="1" w:styleId="491">
    <w:name w:val="font5"/>
    <w:basedOn w:val="1"/>
    <w:qFormat/>
    <w:uiPriority w:val="0"/>
    <w:pPr>
      <w:widowControl/>
      <w:spacing w:before="100" w:beforeAutospacing="1" w:after="100" w:afterAutospacing="1"/>
      <w:jc w:val="left"/>
    </w:pPr>
    <w:rPr>
      <w:rFonts w:ascii="宋体"/>
      <w:sz w:val="18"/>
      <w:szCs w:val="18"/>
    </w:rPr>
  </w:style>
  <w:style w:type="paragraph" w:customStyle="1" w:styleId="492">
    <w:name w:val="pa-5"/>
    <w:basedOn w:val="1"/>
    <w:qFormat/>
    <w:uiPriority w:val="0"/>
    <w:pPr>
      <w:widowControl/>
      <w:spacing w:line="280" w:lineRule="atLeast"/>
    </w:pPr>
    <w:rPr>
      <w:rFonts w:ascii="宋体" w:cs="宋体"/>
      <w:sz w:val="24"/>
    </w:rPr>
  </w:style>
  <w:style w:type="paragraph" w:customStyle="1" w:styleId="493">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4">
    <w:name w:val="font6"/>
    <w:basedOn w:val="1"/>
    <w:qFormat/>
    <w:uiPriority w:val="0"/>
    <w:pPr>
      <w:widowControl/>
      <w:spacing w:before="100" w:beforeAutospacing="1" w:after="100" w:afterAutospacing="1"/>
      <w:jc w:val="left"/>
    </w:pPr>
    <w:rPr>
      <w:sz w:val="20"/>
      <w:szCs w:val="20"/>
    </w:rPr>
  </w:style>
  <w:style w:type="paragraph" w:customStyle="1" w:styleId="495">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96">
    <w:name w:val="列出段落1"/>
    <w:basedOn w:val="1"/>
    <w:link w:val="728"/>
    <w:qFormat/>
    <w:uiPriority w:val="0"/>
    <w:pPr>
      <w:ind w:firstLine="200"/>
    </w:pPr>
  </w:style>
  <w:style w:type="paragraph" w:customStyle="1" w:styleId="497">
    <w:name w:val="p0"/>
    <w:basedOn w:val="1"/>
    <w:qFormat/>
    <w:uiPriority w:val="0"/>
    <w:pPr>
      <w:widowControl/>
    </w:pPr>
    <w:rPr>
      <w:szCs w:val="21"/>
    </w:rPr>
  </w:style>
  <w:style w:type="paragraph" w:customStyle="1" w:styleId="498">
    <w:name w:val="Char Char Char Char Char Char Char Char Char Char21"/>
    <w:basedOn w:val="1"/>
    <w:qFormat/>
    <w:uiPriority w:val="0"/>
    <w:rPr>
      <w:rFonts w:ascii="Tahoma" w:hAnsi="Tahoma"/>
      <w:sz w:val="24"/>
      <w:szCs w:val="20"/>
    </w:rPr>
  </w:style>
  <w:style w:type="paragraph" w:customStyle="1" w:styleId="499">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500">
    <w:name w:val="表格正文"/>
    <w:basedOn w:val="1"/>
    <w:qFormat/>
    <w:uiPriority w:val="0"/>
    <w:pPr>
      <w:tabs>
        <w:tab w:val="left" w:pos="420"/>
      </w:tabs>
      <w:spacing w:line="300" w:lineRule="auto"/>
    </w:pPr>
  </w:style>
  <w:style w:type="paragraph" w:customStyle="1" w:styleId="501">
    <w:name w:val="首页标题小初"/>
    <w:qFormat/>
    <w:uiPriority w:val="0"/>
    <w:pPr>
      <w:jc w:val="center"/>
    </w:pPr>
    <w:rPr>
      <w:rFonts w:hint="default" w:ascii="黑体" w:hAnsi="Times New Roman" w:eastAsia="黑体" w:cs="宋体"/>
      <w:sz w:val="72"/>
      <w:lang w:val="en-US" w:eastAsia="zh-CN" w:bidi="ar-SA"/>
    </w:rPr>
  </w:style>
  <w:style w:type="paragraph" w:customStyle="1" w:styleId="502">
    <w:name w:val="五级条标题"/>
    <w:basedOn w:val="472"/>
    <w:next w:val="403"/>
    <w:qFormat/>
    <w:uiPriority w:val="0"/>
    <w:pPr>
      <w:outlineLvl w:val="6"/>
    </w:pPr>
  </w:style>
  <w:style w:type="paragraph" w:customStyle="1" w:styleId="503">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04">
    <w:name w:val="ibm-list-next"/>
    <w:basedOn w:val="1"/>
    <w:qFormat/>
    <w:uiPriority w:val="0"/>
    <w:pPr>
      <w:widowControl/>
      <w:spacing w:before="100" w:beforeAutospacing="1" w:after="100" w:afterAutospacing="1"/>
      <w:jc w:val="left"/>
    </w:pPr>
    <w:rPr>
      <w:rFonts w:ascii="宋体" w:cs="宋体"/>
      <w:sz w:val="24"/>
    </w:rPr>
  </w:style>
  <w:style w:type="paragraph" w:customStyle="1" w:styleId="505">
    <w:name w:val="首页标题 一号"/>
    <w:basedOn w:val="501"/>
    <w:qFormat/>
    <w:uiPriority w:val="0"/>
    <w:rPr>
      <w:sz w:val="52"/>
    </w:rPr>
  </w:style>
  <w:style w:type="paragraph" w:customStyle="1" w:styleId="506">
    <w:name w:val="Char Char Char Char Char Char Char Char Char Char2"/>
    <w:basedOn w:val="1"/>
    <w:qFormat/>
    <w:uiPriority w:val="0"/>
    <w:rPr>
      <w:rFonts w:ascii="Tahoma" w:hAnsi="Tahoma"/>
      <w:sz w:val="24"/>
      <w:szCs w:val="20"/>
    </w:rPr>
  </w:style>
  <w:style w:type="paragraph" w:customStyle="1" w:styleId="507">
    <w:name w:val="正文（编号）"/>
    <w:basedOn w:val="365"/>
    <w:link w:val="508"/>
    <w:qFormat/>
    <w:uiPriority w:val="0"/>
    <w:pPr>
      <w:tabs>
        <w:tab w:val="left" w:pos="720"/>
        <w:tab w:val="left" w:pos="780"/>
      </w:tabs>
      <w:ind w:left="720" w:firstLine="0"/>
    </w:pPr>
    <w:rPr>
      <w:rFonts w:ascii="Times New Roman" w:hAnsi="Times New Roman"/>
      <w:szCs w:val="24"/>
    </w:rPr>
  </w:style>
  <w:style w:type="character" w:customStyle="1" w:styleId="508">
    <w:name w:val="正文（编号） Char Char"/>
    <w:link w:val="507"/>
    <w:qFormat/>
    <w:uiPriority w:val="0"/>
    <w:rPr>
      <w:sz w:val="24"/>
      <w:szCs w:val="24"/>
    </w:rPr>
  </w:style>
  <w:style w:type="paragraph" w:customStyle="1" w:styleId="509">
    <w:name w:val="表格"/>
    <w:basedOn w:val="1"/>
    <w:qFormat/>
    <w:uiPriority w:val="0"/>
    <w:pPr>
      <w:ind w:firstLine="21"/>
    </w:pPr>
    <w:rPr>
      <w:rFonts w:ascii="宋体"/>
      <w:szCs w:val="20"/>
    </w:rPr>
  </w:style>
  <w:style w:type="character" w:customStyle="1" w:styleId="510">
    <w:name w:val="正文（缩进） Char Char"/>
    <w:qFormat/>
    <w:uiPriority w:val="0"/>
    <w:rPr>
      <w:rFonts w:eastAsia="宋体"/>
      <w:sz w:val="24"/>
      <w:szCs w:val="24"/>
      <w:lang w:val="en-US" w:eastAsia="zh-CN" w:bidi="ar-SA"/>
    </w:rPr>
  </w:style>
  <w:style w:type="paragraph" w:customStyle="1" w:styleId="511">
    <w:name w:val="Char Char Char1"/>
    <w:basedOn w:val="1"/>
    <w:qFormat/>
    <w:uiPriority w:val="0"/>
    <w:rPr>
      <w:szCs w:val="21"/>
    </w:rPr>
  </w:style>
  <w:style w:type="paragraph" w:customStyle="1" w:styleId="512">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13">
    <w:name w:val="表中文字"/>
    <w:basedOn w:val="1"/>
    <w:qFormat/>
    <w:uiPriority w:val="0"/>
    <w:pPr>
      <w:widowControl/>
    </w:pPr>
    <w:rPr>
      <w:szCs w:val="20"/>
    </w:rPr>
  </w:style>
  <w:style w:type="character" w:customStyle="1" w:styleId="514">
    <w:name w:val="z1"/>
    <w:qFormat/>
    <w:uiPriority w:val="0"/>
  </w:style>
  <w:style w:type="paragraph" w:customStyle="1" w:styleId="515">
    <w:name w:val="a1"/>
    <w:basedOn w:val="1"/>
    <w:qFormat/>
    <w:uiPriority w:val="0"/>
    <w:pPr>
      <w:widowControl/>
      <w:spacing w:before="100" w:beforeAutospacing="1" w:after="100" w:afterAutospacing="1"/>
      <w:jc w:val="left"/>
    </w:pPr>
    <w:rPr>
      <w:rFonts w:ascii="宋体"/>
      <w:sz w:val="24"/>
    </w:rPr>
  </w:style>
  <w:style w:type="paragraph" w:customStyle="1" w:styleId="516">
    <w:name w:val="a0"/>
    <w:basedOn w:val="1"/>
    <w:qFormat/>
    <w:uiPriority w:val="0"/>
    <w:pPr>
      <w:widowControl/>
      <w:spacing w:before="100" w:beforeAutospacing="1" w:after="100" w:afterAutospacing="1"/>
      <w:jc w:val="left"/>
    </w:pPr>
    <w:rPr>
      <w:rFonts w:ascii="宋体"/>
      <w:sz w:val="24"/>
    </w:rPr>
  </w:style>
  <w:style w:type="paragraph" w:customStyle="1" w:styleId="517">
    <w:name w:val="tabletext"/>
    <w:basedOn w:val="1"/>
    <w:qFormat/>
    <w:uiPriority w:val="0"/>
    <w:pPr>
      <w:widowControl/>
      <w:spacing w:before="100" w:beforeAutospacing="1" w:after="100" w:afterAutospacing="1"/>
      <w:jc w:val="left"/>
    </w:pPr>
    <w:rPr>
      <w:rFonts w:ascii="宋体"/>
      <w:sz w:val="24"/>
    </w:rPr>
  </w:style>
  <w:style w:type="paragraph" w:customStyle="1" w:styleId="518">
    <w:name w:val="我的样式"/>
    <w:basedOn w:val="1"/>
    <w:qFormat/>
    <w:uiPriority w:val="0"/>
    <w:pPr>
      <w:widowControl/>
      <w:spacing w:after="120"/>
      <w:ind w:firstLine="420"/>
      <w:jc w:val="left"/>
    </w:pPr>
    <w:rPr>
      <w:rFonts w:ascii="宋体"/>
      <w:color w:val="000000"/>
      <w:sz w:val="24"/>
      <w:szCs w:val="16"/>
    </w:rPr>
  </w:style>
  <w:style w:type="paragraph" w:customStyle="1" w:styleId="519">
    <w:name w:val="Figure and Table Title"/>
    <w:basedOn w:val="1"/>
    <w:qFormat/>
    <w:uiPriority w:val="0"/>
    <w:pPr>
      <w:widowControl/>
      <w:ind w:left="2160"/>
      <w:jc w:val="left"/>
    </w:pPr>
    <w:rPr>
      <w:rFonts w:ascii="Helvetica-Light" w:hAnsi="Helvetica-Light"/>
      <w:b/>
      <w:bCs/>
      <w:sz w:val="20"/>
      <w:lang w:eastAsia="en-US"/>
    </w:rPr>
  </w:style>
  <w:style w:type="paragraph" w:customStyle="1" w:styleId="520">
    <w:name w:val="Table Text/Title"/>
    <w:basedOn w:val="1"/>
    <w:qFormat/>
    <w:uiPriority w:val="0"/>
    <w:pPr>
      <w:widowControl/>
      <w:jc w:val="left"/>
    </w:pPr>
    <w:rPr>
      <w:rFonts w:ascii="宋体"/>
      <w:b/>
      <w:bCs/>
      <w:sz w:val="20"/>
      <w:szCs w:val="20"/>
      <w:lang w:eastAsia="en-US"/>
    </w:rPr>
  </w:style>
  <w:style w:type="paragraph" w:customStyle="1" w:styleId="521">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22">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23">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24">
    <w:name w:val="style91"/>
    <w:qFormat/>
    <w:uiPriority w:val="0"/>
    <w:rPr>
      <w:color w:val="2060C0"/>
      <w:sz w:val="24"/>
      <w:szCs w:val="24"/>
    </w:rPr>
  </w:style>
  <w:style w:type="paragraph" w:customStyle="1" w:styleId="525">
    <w:name w:val="标准小四"/>
    <w:basedOn w:val="1"/>
    <w:qFormat/>
    <w:uiPriority w:val="0"/>
    <w:pPr>
      <w:spacing w:line="360" w:lineRule="auto"/>
      <w:ind w:firstLine="200"/>
    </w:pPr>
    <w:rPr>
      <w:rFonts w:ascii="Arial" w:hAnsi="Arial"/>
      <w:sz w:val="24"/>
      <w:szCs w:val="21"/>
    </w:rPr>
  </w:style>
  <w:style w:type="paragraph" w:customStyle="1" w:styleId="526">
    <w:name w:val="样式 正文首行缩进 + 宋体 首行缩进:  0.74 厘米"/>
    <w:basedOn w:val="337"/>
    <w:qFormat/>
    <w:uiPriority w:val="0"/>
    <w:pPr>
      <w:spacing w:before="120" w:after="0" w:line="380" w:lineRule="exact"/>
      <w:ind w:firstLine="210"/>
    </w:pPr>
    <w:rPr>
      <w:rFonts w:ascii="宋体" w:cs="宋体"/>
      <w:sz w:val="24"/>
      <w:szCs w:val="20"/>
    </w:rPr>
  </w:style>
  <w:style w:type="paragraph" w:customStyle="1" w:styleId="527">
    <w:name w:val="默认段落字体 Para Char Char Char Char Char Char Char Char Char1"/>
    <w:basedOn w:val="1"/>
    <w:qFormat/>
    <w:uiPriority w:val="0"/>
    <w:rPr>
      <w:rFonts w:ascii="Tahoma" w:hAnsi="Tahoma"/>
      <w:sz w:val="24"/>
      <w:szCs w:val="20"/>
    </w:rPr>
  </w:style>
  <w:style w:type="paragraph" w:customStyle="1" w:styleId="528">
    <w:name w:val="正文小四"/>
    <w:basedOn w:val="1"/>
    <w:qFormat/>
    <w:uiPriority w:val="0"/>
    <w:pPr>
      <w:spacing w:line="312" w:lineRule="auto"/>
    </w:pPr>
    <w:rPr>
      <w:sz w:val="24"/>
    </w:rPr>
  </w:style>
  <w:style w:type="paragraph" w:customStyle="1" w:styleId="529">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3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31">
    <w:name w:val="正文（首行缩进）"/>
    <w:basedOn w:val="1"/>
    <w:qFormat/>
    <w:uiPriority w:val="0"/>
    <w:pPr>
      <w:widowControl/>
      <w:spacing w:before="120" w:line="360" w:lineRule="auto"/>
      <w:ind w:firstLine="482"/>
    </w:pPr>
    <w:rPr>
      <w:sz w:val="24"/>
      <w:szCs w:val="20"/>
    </w:rPr>
  </w:style>
  <w:style w:type="character" w:customStyle="1" w:styleId="532">
    <w:name w:val="style161"/>
    <w:qFormat/>
    <w:uiPriority w:val="0"/>
    <w:rPr>
      <w:rFonts w:ascii="Verdana" w:hAnsi="Verdana" w:eastAsia="宋体"/>
      <w:b/>
      <w:color w:val="0A246A"/>
      <w:sz w:val="24"/>
      <w:szCs w:val="24"/>
      <w:lang w:val="en-US" w:eastAsia="zh-CN" w:bidi="ar-SA"/>
    </w:rPr>
  </w:style>
  <w:style w:type="paragraph" w:customStyle="1" w:styleId="533">
    <w:name w:val="正文（首行缩进两字）"/>
    <w:basedOn w:val="1"/>
    <w:qFormat/>
    <w:uiPriority w:val="0"/>
    <w:pPr>
      <w:spacing w:line="312" w:lineRule="auto"/>
    </w:pPr>
    <w:rPr>
      <w:rFonts w:ascii="宋体" w:cs="宋体"/>
      <w:sz w:val="24"/>
    </w:rPr>
  </w:style>
  <w:style w:type="paragraph" w:customStyle="1" w:styleId="534">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35">
    <w:name w:val="技术方案3"/>
    <w:basedOn w:val="1"/>
    <w:qFormat/>
    <w:uiPriority w:val="0"/>
    <w:pPr>
      <w:spacing w:line="360" w:lineRule="auto"/>
    </w:pPr>
    <w:rPr>
      <w:rFonts w:ascii="宋体"/>
      <w:b/>
      <w:bCs/>
      <w:sz w:val="32"/>
    </w:rPr>
  </w:style>
  <w:style w:type="paragraph" w:customStyle="1" w:styleId="536">
    <w:name w:val="技术方案2"/>
    <w:basedOn w:val="1"/>
    <w:qFormat/>
    <w:uiPriority w:val="0"/>
    <w:pPr>
      <w:spacing w:line="480" w:lineRule="auto"/>
    </w:pPr>
    <w:rPr>
      <w:rFonts w:ascii="宋体"/>
      <w:b/>
      <w:bCs/>
      <w:sz w:val="36"/>
    </w:rPr>
  </w:style>
  <w:style w:type="paragraph" w:customStyle="1" w:styleId="537">
    <w:name w:val="技术方案正文"/>
    <w:basedOn w:val="1"/>
    <w:qFormat/>
    <w:uiPriority w:val="0"/>
    <w:pPr>
      <w:spacing w:line="360" w:lineRule="auto"/>
      <w:ind w:firstLine="480"/>
    </w:pPr>
    <w:rPr>
      <w:rFonts w:ascii="宋体"/>
      <w:sz w:val="24"/>
    </w:rPr>
  </w:style>
  <w:style w:type="paragraph" w:customStyle="1" w:styleId="53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39">
    <w:name w:val="Normal Paragraph"/>
    <w:basedOn w:val="1"/>
    <w:qFormat/>
    <w:uiPriority w:val="0"/>
    <w:pPr>
      <w:widowControl/>
      <w:spacing w:before="120" w:line="360" w:lineRule="auto"/>
      <w:ind w:firstLine="425"/>
    </w:pPr>
    <w:rPr>
      <w:sz w:val="24"/>
      <w:szCs w:val="20"/>
    </w:rPr>
  </w:style>
  <w:style w:type="paragraph" w:customStyle="1" w:styleId="540">
    <w:name w:val="Normal Paragraph Char"/>
    <w:basedOn w:val="1"/>
    <w:qFormat/>
    <w:uiPriority w:val="0"/>
    <w:pPr>
      <w:widowControl/>
      <w:spacing w:before="120" w:line="360" w:lineRule="auto"/>
      <w:ind w:firstLine="425"/>
    </w:pPr>
    <w:rPr>
      <w:sz w:val="24"/>
    </w:rPr>
  </w:style>
  <w:style w:type="paragraph" w:customStyle="1" w:styleId="541">
    <w:name w:val="文档正文"/>
    <w:basedOn w:val="1"/>
    <w:qFormat/>
    <w:uiPriority w:val="0"/>
    <w:rPr>
      <w:rFonts w:ascii="宋体"/>
      <w:szCs w:val="20"/>
    </w:rPr>
  </w:style>
  <w:style w:type="paragraph" w:customStyle="1" w:styleId="542">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43">
    <w:name w:val="标题2"/>
    <w:basedOn w:val="1"/>
    <w:qFormat/>
    <w:uiPriority w:val="0"/>
    <w:pPr>
      <w:tabs>
        <w:tab w:val="left" w:pos="0"/>
      </w:tabs>
    </w:pPr>
    <w:rPr>
      <w:rFonts w:ascii="黑体" w:eastAsia="黑体"/>
      <w:sz w:val="24"/>
    </w:rPr>
  </w:style>
  <w:style w:type="paragraph" w:customStyle="1" w:styleId="544">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45">
    <w:name w:val="样式2"/>
    <w:basedOn w:val="114"/>
    <w:qFormat/>
    <w:uiPriority w:val="0"/>
    <w:pPr>
      <w:spacing w:line="415" w:lineRule="auto"/>
    </w:pPr>
    <w:rPr>
      <w:rFonts w:ascii="Calibri" w:hAnsi="Calibri"/>
      <w:bCs/>
      <w:color w:val="000000"/>
      <w:sz w:val="28"/>
      <w:szCs w:val="28"/>
    </w:rPr>
  </w:style>
  <w:style w:type="paragraph" w:customStyle="1" w:styleId="546">
    <w:name w:val="样式3"/>
    <w:basedOn w:val="114"/>
    <w:qFormat/>
    <w:uiPriority w:val="0"/>
    <w:pPr>
      <w:spacing w:line="415" w:lineRule="auto"/>
    </w:pPr>
    <w:rPr>
      <w:rFonts w:ascii="Calibri" w:hAnsi="Calibri"/>
      <w:bCs/>
      <w:color w:val="000000"/>
      <w:sz w:val="28"/>
      <w:szCs w:val="28"/>
    </w:rPr>
  </w:style>
  <w:style w:type="paragraph" w:customStyle="1" w:styleId="547">
    <w:name w:val="样式4"/>
    <w:basedOn w:val="114"/>
    <w:qFormat/>
    <w:uiPriority w:val="0"/>
    <w:pPr>
      <w:spacing w:line="415" w:lineRule="auto"/>
    </w:pPr>
    <w:rPr>
      <w:rFonts w:ascii="Calibri" w:hAnsi="Calibri"/>
      <w:bCs/>
      <w:color w:val="000000"/>
      <w:sz w:val="28"/>
      <w:szCs w:val="28"/>
    </w:rPr>
  </w:style>
  <w:style w:type="paragraph" w:customStyle="1" w:styleId="548">
    <w:name w:val="样式5"/>
    <w:basedOn w:val="114"/>
    <w:qFormat/>
    <w:uiPriority w:val="0"/>
    <w:pPr>
      <w:spacing w:line="415" w:lineRule="auto"/>
    </w:pPr>
    <w:rPr>
      <w:rFonts w:ascii="Calibri" w:hAnsi="Calibri"/>
      <w:bCs/>
      <w:color w:val="000000"/>
      <w:sz w:val="28"/>
      <w:szCs w:val="28"/>
    </w:rPr>
  </w:style>
  <w:style w:type="paragraph" w:customStyle="1" w:styleId="549">
    <w:name w:val="样式6"/>
    <w:basedOn w:val="481"/>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50">
    <w:name w:val="大汉方案正文 Char"/>
    <w:basedOn w:val="1"/>
    <w:qFormat/>
    <w:uiPriority w:val="0"/>
    <w:pPr>
      <w:spacing w:line="360" w:lineRule="auto"/>
      <w:ind w:firstLine="200"/>
    </w:pPr>
    <w:rPr>
      <w:rFonts w:ascii="Arial" w:hAnsi="Arial"/>
      <w:sz w:val="24"/>
    </w:rPr>
  </w:style>
  <w:style w:type="character" w:customStyle="1" w:styleId="551">
    <w:name w:val="标题 2 Char Char Char"/>
    <w:qFormat/>
    <w:uiPriority w:val="0"/>
    <w:rPr>
      <w:rFonts w:ascii="Arial" w:hAnsi="Arial" w:eastAsia="宋体" w:cs="Arial"/>
      <w:b/>
      <w:bCs/>
      <w:i/>
      <w:iCs/>
      <w:sz w:val="28"/>
      <w:szCs w:val="28"/>
      <w:lang w:val="en-US" w:eastAsia="zh-CN" w:bidi="ar-SA"/>
    </w:rPr>
  </w:style>
  <w:style w:type="character" w:customStyle="1" w:styleId="552">
    <w:name w:val="question-title"/>
    <w:qFormat/>
    <w:uiPriority w:val="0"/>
  </w:style>
  <w:style w:type="paragraph" w:customStyle="1" w:styleId="553">
    <w:name w:val="说明书2级标题"/>
    <w:basedOn w:val="1"/>
    <w:next w:val="554"/>
    <w:qFormat/>
    <w:uiPriority w:val="0"/>
    <w:pPr>
      <w:numPr>
        <w:ilvl w:val="2"/>
        <w:numId w:val="2"/>
      </w:numPr>
      <w:spacing w:before="100"/>
    </w:pPr>
    <w:rPr>
      <w:rFonts w:eastAsia="黑体"/>
      <w:sz w:val="28"/>
      <w:szCs w:val="28"/>
    </w:rPr>
  </w:style>
  <w:style w:type="paragraph" w:customStyle="1" w:styleId="554">
    <w:name w:val="说明书3级标题"/>
    <w:basedOn w:val="1"/>
    <w:next w:val="1"/>
    <w:qFormat/>
    <w:uiPriority w:val="0"/>
    <w:pPr>
      <w:numPr>
        <w:ilvl w:val="2"/>
        <w:numId w:val="3"/>
      </w:numPr>
      <w:spacing w:line="360" w:lineRule="auto"/>
    </w:pPr>
    <w:rPr>
      <w:rFonts w:eastAsia="黑体"/>
      <w:sz w:val="24"/>
    </w:rPr>
  </w:style>
  <w:style w:type="character" w:customStyle="1" w:styleId="555">
    <w:name w:val="style15"/>
    <w:qFormat/>
    <w:uiPriority w:val="0"/>
  </w:style>
  <w:style w:type="paragraph" w:customStyle="1" w:styleId="556">
    <w:name w:val="列出段落[858D7CFB-ED40-4347-BF05-701D383B685F][858D7CFB-ED40-4347-BF05-701D383B685F]"/>
    <w:basedOn w:val="1"/>
    <w:qFormat/>
    <w:uiPriority w:val="0"/>
    <w:pPr>
      <w:ind w:firstLine="200"/>
    </w:pPr>
  </w:style>
  <w:style w:type="paragraph" w:customStyle="1" w:styleId="557">
    <w:name w:val="默认段落字体 Para Char Char Char Char Char Char Char Char Char1 Char Char Char Char Char Char Char Char"/>
    <w:basedOn w:val="301"/>
    <w:qFormat/>
    <w:uiPriority w:val="0"/>
  </w:style>
  <w:style w:type="paragraph" w:customStyle="1" w:styleId="558">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59">
    <w:name w:val="Char Char1 Char Char Char Char Char Char Char Char"/>
    <w:basedOn w:val="1"/>
    <w:qFormat/>
    <w:uiPriority w:val="0"/>
    <w:pPr>
      <w:widowControl/>
      <w:spacing w:after="160" w:line="240" w:lineRule="exact"/>
      <w:jc w:val="left"/>
    </w:pPr>
  </w:style>
  <w:style w:type="paragraph" w:customStyle="1" w:styleId="560">
    <w:name w:val="技术方案正文样式"/>
    <w:basedOn w:val="1"/>
    <w:qFormat/>
    <w:uiPriority w:val="0"/>
    <w:pPr>
      <w:spacing w:line="400" w:lineRule="exact"/>
      <w:ind w:firstLine="200"/>
    </w:pPr>
    <w:rPr>
      <w:rFonts w:ascii="宋体" w:cs="宋体"/>
      <w:sz w:val="24"/>
      <w:szCs w:val="21"/>
    </w:rPr>
  </w:style>
  <w:style w:type="paragraph" w:customStyle="1" w:styleId="561">
    <w:name w:val="修订1"/>
    <w:qFormat/>
    <w:uiPriority w:val="0"/>
    <w:rPr>
      <w:rFonts w:hint="default" w:ascii="Times New Roman" w:hAnsi="Times New Roman" w:eastAsia="宋体" w:cs="Times New Roman"/>
      <w:sz w:val="21"/>
      <w:szCs w:val="24"/>
      <w:lang w:val="en-US" w:eastAsia="zh-CN" w:bidi="ar-SA"/>
    </w:rPr>
  </w:style>
  <w:style w:type="paragraph" w:customStyle="1" w:styleId="562">
    <w:name w:val="D&amp;L"/>
    <w:basedOn w:val="322"/>
    <w:qFormat/>
    <w:uiPriority w:val="0"/>
    <w:pPr>
      <w:pBdr>
        <w:bottom w:val="single" w:color="000000" w:sz="18" w:space="1"/>
      </w:pBdr>
      <w:spacing w:line="240" w:lineRule="atLeast"/>
    </w:pPr>
    <w:rPr>
      <w:sz w:val="24"/>
      <w:szCs w:val="20"/>
    </w:rPr>
  </w:style>
  <w:style w:type="paragraph" w:customStyle="1" w:styleId="563">
    <w:name w:val="样式 标题 2 + Times New Roman 四号 非加粗 段前: 5 磅 段后: 0 磅 行距: 固定值 20..."/>
    <w:basedOn w:val="112"/>
    <w:qFormat/>
    <w:uiPriority w:val="0"/>
    <w:pPr>
      <w:spacing w:before="100" w:after="0" w:line="400" w:lineRule="exact"/>
    </w:pPr>
    <w:rPr>
      <w:rFonts w:ascii="Times New Roman" w:hAnsi="Times New Roman" w:cs="宋体"/>
      <w:b w:val="0"/>
      <w:sz w:val="28"/>
    </w:rPr>
  </w:style>
  <w:style w:type="paragraph" w:customStyle="1" w:styleId="564">
    <w:name w:val="Char Char Char Char Char Char Char1 Char"/>
    <w:basedOn w:val="1"/>
    <w:qFormat/>
    <w:uiPriority w:val="0"/>
    <w:rPr>
      <w:rFonts w:ascii="Tahoma" w:hAnsi="Tahoma"/>
      <w:sz w:val="24"/>
      <w:szCs w:val="20"/>
    </w:rPr>
  </w:style>
  <w:style w:type="paragraph" w:customStyle="1" w:styleId="565">
    <w:name w:val="TOC 标题2"/>
    <w:basedOn w:val="110"/>
    <w:next w:val="1"/>
    <w:qFormat/>
    <w:uiPriority w:val="0"/>
    <w:pPr>
      <w:widowControl/>
      <w:spacing w:before="480" w:after="0" w:line="276" w:lineRule="auto"/>
      <w:outlineLvl w:val="9"/>
    </w:pPr>
    <w:rPr>
      <w:rFonts w:ascii="Cambria" w:hAnsi="Cambria"/>
      <w:color w:val="365F91"/>
      <w:sz w:val="28"/>
    </w:rPr>
  </w:style>
  <w:style w:type="paragraph" w:customStyle="1" w:styleId="566">
    <w:name w:val="无间隔11"/>
    <w:link w:val="567"/>
    <w:qFormat/>
    <w:uiPriority w:val="0"/>
    <w:rPr>
      <w:rFonts w:hint="default" w:ascii="Calibri" w:hAnsi="Calibri" w:eastAsia="宋体" w:cs="Times New Roman"/>
      <w:sz w:val="22"/>
      <w:lang w:val="en-US" w:eastAsia="zh-CN" w:bidi="ar-SA"/>
    </w:rPr>
  </w:style>
  <w:style w:type="character" w:customStyle="1" w:styleId="567">
    <w:name w:val="无间隔 字符"/>
    <w:link w:val="566"/>
    <w:qFormat/>
    <w:uiPriority w:val="0"/>
    <w:rPr>
      <w:rFonts w:ascii="Calibri" w:hAnsi="Calibri"/>
      <w:sz w:val="22"/>
      <w:lang w:bidi="ar-SA"/>
    </w:rPr>
  </w:style>
  <w:style w:type="paragraph" w:customStyle="1" w:styleId="568">
    <w:name w:val="Normal_0"/>
    <w:qFormat/>
    <w:uiPriority w:val="0"/>
    <w:rPr>
      <w:rFonts w:hint="default" w:ascii="黑体" w:hAnsi="黑体" w:eastAsia="黑体" w:cs="Times New Roman"/>
      <w:b/>
      <w:sz w:val="32"/>
      <w:szCs w:val="24"/>
      <w:lang w:val="en-US" w:eastAsia="zh-CN" w:bidi="ar-SA"/>
    </w:rPr>
  </w:style>
  <w:style w:type="paragraph" w:customStyle="1" w:styleId="56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0">
    <w:name w:val="Normal_1"/>
    <w:qFormat/>
    <w:uiPriority w:val="0"/>
    <w:rPr>
      <w:rFonts w:hint="default" w:ascii="黑体" w:hAnsi="黑体" w:eastAsia="黑体" w:cs="Times New Roman"/>
      <w:b/>
      <w:sz w:val="32"/>
      <w:szCs w:val="24"/>
      <w:lang w:val="en-US" w:eastAsia="zh-CN" w:bidi="ar-SA"/>
    </w:rPr>
  </w:style>
  <w:style w:type="paragraph" w:customStyle="1" w:styleId="571">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2">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3">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4">
    <w:name w:val="Normal_2"/>
    <w:qFormat/>
    <w:uiPriority w:val="0"/>
    <w:rPr>
      <w:rFonts w:hint="default" w:ascii="黑体" w:hAnsi="黑体" w:eastAsia="黑体" w:cs="Times New Roman"/>
      <w:b/>
      <w:sz w:val="32"/>
      <w:szCs w:val="24"/>
      <w:lang w:val="en-US" w:eastAsia="zh-CN" w:bidi="ar-SA"/>
    </w:rPr>
  </w:style>
  <w:style w:type="paragraph" w:customStyle="1" w:styleId="575">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6">
    <w:name w:val="Normal_3"/>
    <w:qFormat/>
    <w:uiPriority w:val="0"/>
    <w:rPr>
      <w:rFonts w:hint="default" w:ascii="黑体" w:hAnsi="黑体" w:eastAsia="黑体" w:cs="Times New Roman"/>
      <w:b/>
      <w:sz w:val="32"/>
      <w:szCs w:val="24"/>
      <w:lang w:val="en-US" w:eastAsia="zh-CN" w:bidi="ar-SA"/>
    </w:rPr>
  </w:style>
  <w:style w:type="paragraph" w:customStyle="1" w:styleId="577">
    <w:name w:val="Normal_4"/>
    <w:qFormat/>
    <w:uiPriority w:val="0"/>
    <w:rPr>
      <w:rFonts w:hint="default" w:ascii="黑体" w:hAnsi="黑体" w:eastAsia="黑体" w:cs="Times New Roman"/>
      <w:b/>
      <w:sz w:val="32"/>
      <w:szCs w:val="24"/>
      <w:lang w:val="en-US" w:eastAsia="zh-CN" w:bidi="ar-SA"/>
    </w:rPr>
  </w:style>
  <w:style w:type="paragraph" w:customStyle="1" w:styleId="578">
    <w:name w:val="Normal_5"/>
    <w:qFormat/>
    <w:uiPriority w:val="0"/>
    <w:rPr>
      <w:rFonts w:hint="default" w:ascii="黑体" w:hAnsi="黑体" w:eastAsia="黑体" w:cs="Times New Roman"/>
      <w:b/>
      <w:sz w:val="32"/>
      <w:szCs w:val="24"/>
      <w:lang w:val="en-US" w:eastAsia="zh-CN" w:bidi="ar-SA"/>
    </w:rPr>
  </w:style>
  <w:style w:type="paragraph" w:customStyle="1" w:styleId="579">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Normal_6"/>
    <w:qFormat/>
    <w:uiPriority w:val="0"/>
    <w:rPr>
      <w:rFonts w:hint="default" w:ascii="黑体" w:hAnsi="黑体" w:eastAsia="黑体" w:cs="Times New Roman"/>
      <w:b/>
      <w:sz w:val="32"/>
      <w:szCs w:val="24"/>
      <w:lang w:val="en-US" w:eastAsia="zh-CN" w:bidi="ar-SA"/>
    </w:rPr>
  </w:style>
  <w:style w:type="paragraph" w:customStyle="1" w:styleId="581">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82">
    <w:name w:val="Normal_7"/>
    <w:qFormat/>
    <w:uiPriority w:val="0"/>
    <w:rPr>
      <w:rFonts w:hint="default" w:ascii="黑体" w:hAnsi="黑体" w:eastAsia="黑体" w:cs="Times New Roman"/>
      <w:b/>
      <w:sz w:val="32"/>
      <w:szCs w:val="24"/>
      <w:lang w:val="en-US" w:eastAsia="zh-CN" w:bidi="ar-SA"/>
    </w:rPr>
  </w:style>
  <w:style w:type="paragraph" w:customStyle="1" w:styleId="583">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84">
    <w:name w:val="Normal_9"/>
    <w:qFormat/>
    <w:uiPriority w:val="0"/>
    <w:rPr>
      <w:rFonts w:hint="default" w:ascii="黑体" w:hAnsi="黑体" w:eastAsia="黑体" w:cs="Times New Roman"/>
      <w:b/>
      <w:sz w:val="32"/>
      <w:szCs w:val="24"/>
      <w:lang w:val="en-US" w:eastAsia="zh-CN" w:bidi="ar-SA"/>
    </w:rPr>
  </w:style>
  <w:style w:type="paragraph" w:customStyle="1" w:styleId="585">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6">
    <w:name w:val="Normal_10"/>
    <w:qFormat/>
    <w:uiPriority w:val="0"/>
    <w:rPr>
      <w:rFonts w:hint="default" w:ascii="黑体" w:hAnsi="黑体" w:eastAsia="黑体" w:cs="Times New Roman"/>
      <w:b/>
      <w:sz w:val="32"/>
      <w:szCs w:val="24"/>
      <w:lang w:val="en-US" w:eastAsia="zh-CN" w:bidi="ar-SA"/>
    </w:rPr>
  </w:style>
  <w:style w:type="paragraph" w:customStyle="1" w:styleId="587">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8">
    <w:name w:val="正文缩进_0"/>
    <w:basedOn w:val="587"/>
    <w:link w:val="589"/>
    <w:unhideWhenUsed/>
    <w:qFormat/>
    <w:uiPriority w:val="0"/>
    <w:pPr>
      <w:ind w:firstLine="420"/>
    </w:pPr>
    <w:rPr>
      <w:szCs w:val="22"/>
    </w:rPr>
  </w:style>
  <w:style w:type="character" w:customStyle="1" w:styleId="589">
    <w:name w:val="正文缩进 Char1_0"/>
    <w:link w:val="588"/>
    <w:qFormat/>
    <w:uiPriority w:val="0"/>
    <w:rPr>
      <w:sz w:val="21"/>
      <w:szCs w:val="22"/>
    </w:rPr>
  </w:style>
  <w:style w:type="paragraph" w:customStyle="1" w:styleId="590">
    <w:name w:val="纯文本_0"/>
    <w:basedOn w:val="587"/>
    <w:link w:val="591"/>
    <w:unhideWhenUsed/>
    <w:qFormat/>
    <w:uiPriority w:val="0"/>
    <w:rPr>
      <w:rFonts w:ascii="宋体" w:hAnsi="Courier New"/>
      <w:szCs w:val="21"/>
    </w:rPr>
  </w:style>
  <w:style w:type="character" w:customStyle="1" w:styleId="591">
    <w:name w:val="纯文本 Char_0"/>
    <w:link w:val="590"/>
    <w:qFormat/>
    <w:uiPriority w:val="0"/>
    <w:rPr>
      <w:rFonts w:ascii="宋体" w:hAnsi="Courier New" w:cs="Courier New"/>
      <w:sz w:val="21"/>
      <w:szCs w:val="21"/>
    </w:rPr>
  </w:style>
  <w:style w:type="paragraph" w:customStyle="1" w:styleId="592">
    <w:name w:val="Normal_11"/>
    <w:qFormat/>
    <w:uiPriority w:val="0"/>
    <w:rPr>
      <w:rFonts w:hint="default" w:ascii="黑体" w:hAnsi="黑体" w:eastAsia="黑体" w:cs="Times New Roman"/>
      <w:b/>
      <w:sz w:val="32"/>
      <w:szCs w:val="24"/>
      <w:lang w:val="en-US" w:eastAsia="zh-CN" w:bidi="ar-SA"/>
    </w:rPr>
  </w:style>
  <w:style w:type="paragraph" w:customStyle="1" w:styleId="593">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Normal_12"/>
    <w:qFormat/>
    <w:uiPriority w:val="0"/>
    <w:rPr>
      <w:rFonts w:hint="default" w:ascii="黑体" w:hAnsi="黑体" w:eastAsia="黑体" w:cs="Times New Roman"/>
      <w:b/>
      <w:sz w:val="32"/>
      <w:szCs w:val="24"/>
      <w:lang w:val="en-US" w:eastAsia="zh-CN" w:bidi="ar-SA"/>
    </w:rPr>
  </w:style>
  <w:style w:type="paragraph" w:customStyle="1" w:styleId="595">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Normal_13"/>
    <w:qFormat/>
    <w:uiPriority w:val="0"/>
    <w:rPr>
      <w:rFonts w:hint="default" w:ascii="黑体" w:hAnsi="黑体" w:eastAsia="黑体" w:cs="Times New Roman"/>
      <w:b/>
      <w:sz w:val="32"/>
      <w:szCs w:val="24"/>
      <w:lang w:val="en-US" w:eastAsia="zh-CN" w:bidi="ar-SA"/>
    </w:rPr>
  </w:style>
  <w:style w:type="paragraph" w:customStyle="1" w:styleId="597">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8">
    <w:name w:val="Normal_14"/>
    <w:qFormat/>
    <w:uiPriority w:val="0"/>
    <w:rPr>
      <w:rFonts w:hint="default" w:ascii="黑体" w:hAnsi="黑体" w:eastAsia="黑体" w:cs="Times New Roman"/>
      <w:b/>
      <w:sz w:val="32"/>
      <w:szCs w:val="24"/>
      <w:lang w:val="en-US" w:eastAsia="zh-CN" w:bidi="ar-SA"/>
    </w:rPr>
  </w:style>
  <w:style w:type="paragraph" w:customStyle="1" w:styleId="599">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0">
    <w:name w:val="Normal_15"/>
    <w:qFormat/>
    <w:uiPriority w:val="0"/>
    <w:rPr>
      <w:rFonts w:hint="default" w:ascii="黑体" w:hAnsi="黑体" w:eastAsia="黑体" w:cs="Times New Roman"/>
      <w:b/>
      <w:sz w:val="32"/>
      <w:szCs w:val="24"/>
      <w:lang w:val="en-US" w:eastAsia="zh-CN" w:bidi="ar-SA"/>
    </w:rPr>
  </w:style>
  <w:style w:type="paragraph" w:customStyle="1" w:styleId="601">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2">
    <w:name w:val="Normal_16"/>
    <w:qFormat/>
    <w:uiPriority w:val="0"/>
    <w:rPr>
      <w:rFonts w:hint="default" w:ascii="黑体" w:hAnsi="黑体" w:eastAsia="黑体" w:cs="Times New Roman"/>
      <w:b/>
      <w:sz w:val="32"/>
      <w:szCs w:val="24"/>
      <w:lang w:val="en-US" w:eastAsia="zh-CN" w:bidi="ar-SA"/>
    </w:rPr>
  </w:style>
  <w:style w:type="paragraph" w:customStyle="1" w:styleId="603">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4">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5">
    <w:name w:val="Normal_17"/>
    <w:qFormat/>
    <w:uiPriority w:val="0"/>
    <w:rPr>
      <w:rFonts w:hint="default" w:ascii="黑体" w:hAnsi="黑体" w:eastAsia="黑体" w:cs="Times New Roman"/>
      <w:b/>
      <w:sz w:val="32"/>
      <w:szCs w:val="24"/>
      <w:lang w:val="en-US" w:eastAsia="zh-CN" w:bidi="ar-SA"/>
    </w:rPr>
  </w:style>
  <w:style w:type="paragraph" w:customStyle="1" w:styleId="606">
    <w:name w:val="Normal_18"/>
    <w:qFormat/>
    <w:uiPriority w:val="0"/>
    <w:rPr>
      <w:rFonts w:hint="default" w:ascii="黑体" w:hAnsi="黑体" w:eastAsia="黑体" w:cs="Times New Roman"/>
      <w:b/>
      <w:sz w:val="32"/>
      <w:szCs w:val="24"/>
      <w:lang w:val="en-US" w:eastAsia="zh-CN" w:bidi="ar-SA"/>
    </w:rPr>
  </w:style>
  <w:style w:type="paragraph" w:customStyle="1" w:styleId="607">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8">
    <w:name w:val="Normal_0_0"/>
    <w:qFormat/>
    <w:uiPriority w:val="0"/>
    <w:rPr>
      <w:rFonts w:hint="default" w:ascii="黑体" w:hAnsi="黑体" w:eastAsia="黑体" w:cs="Times New Roman"/>
      <w:b/>
      <w:sz w:val="40"/>
      <w:szCs w:val="24"/>
      <w:lang w:val="en-US" w:eastAsia="zh-CN" w:bidi="ar-SA"/>
    </w:rPr>
  </w:style>
  <w:style w:type="paragraph" w:customStyle="1" w:styleId="609">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10">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1">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2">
    <w:name w:val="正文首行缩进 2_1"/>
    <w:basedOn w:val="613"/>
    <w:next w:val="615"/>
    <w:qFormat/>
    <w:uiPriority w:val="0"/>
    <w:pPr>
      <w:spacing w:after="120"/>
      <w:ind w:left="200" w:firstLine="200"/>
    </w:pPr>
    <w:rPr>
      <w:rFonts w:ascii="Times New Roman" w:hAnsi="Times New Roman"/>
      <w:sz w:val="24"/>
      <w:szCs w:val="24"/>
    </w:rPr>
  </w:style>
  <w:style w:type="paragraph" w:customStyle="1" w:styleId="613">
    <w:name w:val="正文文本缩进_1"/>
    <w:basedOn w:val="614"/>
    <w:next w:val="612"/>
    <w:qFormat/>
    <w:uiPriority w:val="0"/>
    <w:pPr>
      <w:ind w:firstLine="225"/>
    </w:pPr>
    <w:rPr>
      <w:rFonts w:ascii="仿宋_GB2312" w:eastAsia="仿宋_GB2312"/>
      <w:sz w:val="32"/>
    </w:rPr>
  </w:style>
  <w:style w:type="paragraph" w:customStyle="1" w:styleId="614">
    <w:name w:val="正文_18"/>
    <w:next w:val="6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5">
    <w:name w:val="xl53_0"/>
    <w:next w:val="61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16">
    <w:name w:val="正文_16"/>
    <w:next w:val="6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标题 3_0"/>
    <w:basedOn w:val="618"/>
    <w:next w:val="616"/>
    <w:qFormat/>
    <w:uiPriority w:val="0"/>
    <w:pPr>
      <w:keepNext/>
      <w:keepLines/>
      <w:spacing w:before="260" w:after="260" w:line="413" w:lineRule="auto"/>
      <w:outlineLvl w:val="2"/>
    </w:pPr>
    <w:rPr>
      <w:rFonts w:ascii="Times New Roman" w:hAnsi="Times New Roman"/>
      <w:b/>
      <w:sz w:val="32"/>
      <w:szCs w:val="20"/>
    </w:rPr>
  </w:style>
  <w:style w:type="paragraph" w:customStyle="1" w:styleId="618">
    <w:name w:val="正文_2_0_2"/>
    <w:next w:val="6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9">
    <w:name w:val="标题_0_0_0"/>
    <w:basedOn w:val="618"/>
    <w:next w:val="618"/>
    <w:qFormat/>
    <w:uiPriority w:val="0"/>
    <w:pPr>
      <w:spacing w:before="240" w:after="60"/>
      <w:jc w:val="center"/>
      <w:outlineLvl w:val="0"/>
    </w:pPr>
    <w:rPr>
      <w:rFonts w:ascii="Cambria" w:hAnsi="Cambria"/>
      <w:b/>
      <w:bCs/>
      <w:sz w:val="32"/>
      <w:szCs w:val="32"/>
    </w:rPr>
  </w:style>
  <w:style w:type="paragraph" w:customStyle="1" w:styleId="620">
    <w:name w:val="正文首行缩进 2_0"/>
    <w:basedOn w:val="621"/>
    <w:qFormat/>
    <w:uiPriority w:val="0"/>
    <w:pPr>
      <w:spacing w:after="120"/>
      <w:ind w:left="200" w:firstLine="200"/>
    </w:pPr>
    <w:rPr>
      <w:rFonts w:ascii="Times New Roman" w:hAnsi="Times New Roman"/>
      <w:sz w:val="24"/>
      <w:szCs w:val="24"/>
    </w:rPr>
  </w:style>
  <w:style w:type="paragraph" w:customStyle="1" w:styleId="621">
    <w:name w:val="正文文本缩进_0"/>
    <w:basedOn w:val="616"/>
    <w:qFormat/>
    <w:uiPriority w:val="0"/>
    <w:pPr>
      <w:ind w:firstLine="225"/>
    </w:pPr>
    <w:rPr>
      <w:rFonts w:ascii="仿宋_GB2312" w:eastAsia="仿宋_GB2312"/>
      <w:sz w:val="32"/>
    </w:rPr>
  </w:style>
  <w:style w:type="paragraph" w:customStyle="1" w:styleId="622">
    <w:name w:val="正文_2"/>
    <w:next w:val="6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3">
    <w:name w:val="正文文本_0"/>
    <w:basedOn w:val="622"/>
    <w:qFormat/>
    <w:uiPriority w:val="0"/>
    <w:rPr>
      <w:rFonts w:ascii="仿宋" w:eastAsia="仿宋" w:cs="仿宋"/>
      <w:sz w:val="24"/>
      <w:szCs w:val="24"/>
      <w:lang w:val="zh-CN" w:bidi="zh-CN"/>
    </w:rPr>
  </w:style>
  <w:style w:type="paragraph" w:customStyle="1" w:styleId="624">
    <w:name w:val="标题 12"/>
    <w:basedOn w:val="91"/>
    <w:next w:val="91"/>
    <w:qFormat/>
    <w:uiPriority w:val="0"/>
    <w:pPr>
      <w:keepNext/>
      <w:keepLines/>
      <w:spacing w:before="340" w:after="330" w:line="576" w:lineRule="auto"/>
      <w:outlineLvl w:val="0"/>
    </w:pPr>
    <w:rPr>
      <w:b/>
      <w:sz w:val="44"/>
      <w:szCs w:val="20"/>
    </w:rPr>
  </w:style>
  <w:style w:type="paragraph" w:customStyle="1" w:styleId="625">
    <w:name w:val="段_0"/>
    <w:next w:val="626"/>
    <w:qFormat/>
    <w:uiPriority w:val="0"/>
    <w:pPr>
      <w:ind w:firstLine="200"/>
      <w:jc w:val="both"/>
    </w:pPr>
    <w:rPr>
      <w:rFonts w:hint="default" w:ascii="宋体" w:hAnsi="Times New Roman" w:eastAsia="宋体" w:cs="Times New Roman"/>
      <w:sz w:val="21"/>
      <w:lang w:val="en-US" w:eastAsia="zh-CN" w:bidi="ar-SA"/>
    </w:rPr>
  </w:style>
  <w:style w:type="paragraph" w:customStyle="1" w:styleId="626">
    <w:name w:val="Normal_19_1"/>
    <w:next w:val="625"/>
    <w:qFormat/>
    <w:uiPriority w:val="0"/>
    <w:rPr>
      <w:rFonts w:hint="default" w:ascii="黑体" w:hAnsi="黑体" w:eastAsia="黑体" w:cs="Times New Roman"/>
      <w:b/>
      <w:sz w:val="32"/>
      <w:szCs w:val="24"/>
      <w:lang w:val="en-US" w:eastAsia="zh-CN" w:bidi="ar-SA"/>
    </w:rPr>
  </w:style>
  <w:style w:type="paragraph" w:customStyle="1" w:styleId="627">
    <w:name w:val="Normal_0_1"/>
    <w:qFormat/>
    <w:uiPriority w:val="0"/>
    <w:rPr>
      <w:rFonts w:hint="default" w:ascii="黑体" w:hAnsi="黑体" w:eastAsia="黑体" w:cs="Times New Roman"/>
      <w:b/>
      <w:sz w:val="32"/>
      <w:szCs w:val="24"/>
      <w:lang w:val="en-US" w:eastAsia="zh-CN" w:bidi="ar-SA"/>
    </w:rPr>
  </w:style>
  <w:style w:type="paragraph" w:customStyle="1" w:styleId="628">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9">
    <w:name w:val="Normal_2_0"/>
    <w:qFormat/>
    <w:uiPriority w:val="0"/>
    <w:rPr>
      <w:rFonts w:hint="default" w:ascii="黑体" w:hAnsi="黑体" w:eastAsia="黑体" w:cs="Times New Roman"/>
      <w:b/>
      <w:sz w:val="32"/>
      <w:szCs w:val="24"/>
      <w:lang w:val="en-US" w:eastAsia="zh-CN" w:bidi="ar-SA"/>
    </w:rPr>
  </w:style>
  <w:style w:type="paragraph" w:customStyle="1" w:styleId="630">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1">
    <w:name w:val="Normal_3_0"/>
    <w:qFormat/>
    <w:uiPriority w:val="0"/>
    <w:rPr>
      <w:rFonts w:hint="default" w:ascii="黑体" w:hAnsi="黑体" w:eastAsia="黑体" w:cs="Times New Roman"/>
      <w:b/>
      <w:sz w:val="32"/>
      <w:szCs w:val="24"/>
      <w:lang w:val="en-US" w:eastAsia="zh-CN" w:bidi="ar-SA"/>
    </w:rPr>
  </w:style>
  <w:style w:type="paragraph" w:customStyle="1" w:styleId="632">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3">
    <w:name w:val="Normal_5_0"/>
    <w:qFormat/>
    <w:uiPriority w:val="0"/>
    <w:rPr>
      <w:rFonts w:hint="default" w:ascii="黑体" w:hAnsi="黑体" w:eastAsia="黑体" w:cs="Times New Roman"/>
      <w:b/>
      <w:sz w:val="32"/>
      <w:szCs w:val="24"/>
      <w:lang w:val="en-US" w:eastAsia="zh-CN" w:bidi="ar-SA"/>
    </w:rPr>
  </w:style>
  <w:style w:type="paragraph" w:customStyle="1" w:styleId="634">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5">
    <w:name w:val="Normal_6_0"/>
    <w:qFormat/>
    <w:uiPriority w:val="0"/>
    <w:rPr>
      <w:rFonts w:hint="default" w:ascii="黑体" w:hAnsi="黑体" w:eastAsia="黑体" w:cs="Times New Roman"/>
      <w:b/>
      <w:sz w:val="32"/>
      <w:szCs w:val="24"/>
      <w:lang w:val="en-US" w:eastAsia="zh-CN" w:bidi="ar-SA"/>
    </w:rPr>
  </w:style>
  <w:style w:type="paragraph" w:customStyle="1" w:styleId="636">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7">
    <w:name w:val="Normal_8_0"/>
    <w:qFormat/>
    <w:uiPriority w:val="0"/>
    <w:rPr>
      <w:rFonts w:hint="default" w:ascii="黑体" w:hAnsi="黑体" w:eastAsia="黑体" w:cs="Times New Roman"/>
      <w:b/>
      <w:sz w:val="32"/>
      <w:szCs w:val="24"/>
      <w:lang w:val="en-US" w:eastAsia="zh-CN" w:bidi="ar-SA"/>
    </w:rPr>
  </w:style>
  <w:style w:type="paragraph" w:customStyle="1" w:styleId="63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39">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40">
    <w:name w:val="Normal_11_0"/>
    <w:qFormat/>
    <w:uiPriority w:val="0"/>
    <w:rPr>
      <w:rFonts w:hint="default" w:ascii="黑体" w:hAnsi="黑体" w:eastAsia="黑体" w:cs="Times New Roman"/>
      <w:b/>
      <w:sz w:val="32"/>
      <w:szCs w:val="24"/>
      <w:lang w:val="en-US" w:eastAsia="zh-CN" w:bidi="ar-SA"/>
    </w:rPr>
  </w:style>
  <w:style w:type="paragraph" w:customStyle="1" w:styleId="64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2">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3">
    <w:name w:val="Normal_12_0"/>
    <w:qFormat/>
    <w:uiPriority w:val="0"/>
    <w:rPr>
      <w:rFonts w:hint="default" w:ascii="黑体" w:hAnsi="黑体" w:eastAsia="黑体" w:cs="Times New Roman"/>
      <w:b/>
      <w:sz w:val="32"/>
      <w:szCs w:val="24"/>
      <w:lang w:val="en-US" w:eastAsia="zh-CN" w:bidi="ar-SA"/>
    </w:rPr>
  </w:style>
  <w:style w:type="paragraph" w:customStyle="1" w:styleId="644">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5">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6">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48">
    <w:name w:val="列出段落_2"/>
    <w:basedOn w:val="646"/>
    <w:qFormat/>
    <w:uiPriority w:val="34"/>
    <w:pPr>
      <w:ind w:firstLine="420"/>
    </w:pPr>
  </w:style>
  <w:style w:type="paragraph" w:customStyle="1" w:styleId="649">
    <w:name w:val="Normal_14_0"/>
    <w:qFormat/>
    <w:uiPriority w:val="0"/>
    <w:rPr>
      <w:rFonts w:hint="default" w:ascii="黑体" w:hAnsi="黑体" w:eastAsia="黑体" w:cs="Times New Roman"/>
      <w:b/>
      <w:sz w:val="32"/>
      <w:szCs w:val="24"/>
      <w:lang w:val="en-US" w:eastAsia="zh-CN" w:bidi="ar-SA"/>
    </w:rPr>
  </w:style>
  <w:style w:type="paragraph" w:customStyle="1" w:styleId="650">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1">
    <w:name w:val="正文缩进_0_0"/>
    <w:basedOn w:val="650"/>
    <w:link w:val="652"/>
    <w:unhideWhenUsed/>
    <w:qFormat/>
    <w:uiPriority w:val="0"/>
    <w:pPr>
      <w:ind w:firstLine="420"/>
    </w:pPr>
    <w:rPr>
      <w:rFonts w:ascii="Calibri" w:hAnsi="Calibri"/>
      <w:szCs w:val="22"/>
    </w:rPr>
  </w:style>
  <w:style w:type="character" w:customStyle="1" w:styleId="652">
    <w:name w:val="正文缩进 Char1_0_0"/>
    <w:link w:val="651"/>
    <w:qFormat/>
    <w:uiPriority w:val="0"/>
    <w:rPr>
      <w:sz w:val="21"/>
      <w:szCs w:val="22"/>
    </w:rPr>
  </w:style>
  <w:style w:type="paragraph" w:customStyle="1" w:styleId="653">
    <w:name w:val="纯文本_0_0"/>
    <w:basedOn w:val="654"/>
    <w:link w:val="655"/>
    <w:unhideWhenUsed/>
    <w:qFormat/>
    <w:uiPriority w:val="0"/>
    <w:rPr>
      <w:rFonts w:ascii="宋体" w:hAnsi="Courier New"/>
      <w:szCs w:val="21"/>
    </w:rPr>
  </w:style>
  <w:style w:type="paragraph" w:customStyle="1" w:styleId="654">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55">
    <w:name w:val="纯文本 Char_0_0"/>
    <w:link w:val="653"/>
    <w:qFormat/>
    <w:uiPriority w:val="0"/>
    <w:rPr>
      <w:rFonts w:ascii="宋体" w:hAnsi="Courier New"/>
      <w:sz w:val="21"/>
      <w:szCs w:val="21"/>
    </w:rPr>
  </w:style>
  <w:style w:type="paragraph" w:customStyle="1" w:styleId="656">
    <w:name w:val="Normal_15_0"/>
    <w:qFormat/>
    <w:uiPriority w:val="0"/>
    <w:rPr>
      <w:rFonts w:hint="default" w:ascii="黑体" w:hAnsi="黑体" w:eastAsia="黑体" w:cs="Times New Roman"/>
      <w:b/>
      <w:sz w:val="32"/>
      <w:szCs w:val="24"/>
      <w:lang w:val="en-US" w:eastAsia="zh-CN" w:bidi="ar-SA"/>
    </w:rPr>
  </w:style>
  <w:style w:type="paragraph" w:customStyle="1" w:styleId="657">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8">
    <w:name w:val="Normal_16_0"/>
    <w:qFormat/>
    <w:uiPriority w:val="0"/>
    <w:rPr>
      <w:rFonts w:hint="default" w:ascii="黑体" w:hAnsi="黑体" w:eastAsia="黑体" w:cs="Times New Roman"/>
      <w:b/>
      <w:sz w:val="32"/>
      <w:szCs w:val="24"/>
      <w:lang w:val="en-US" w:eastAsia="zh-CN" w:bidi="ar-SA"/>
    </w:rPr>
  </w:style>
  <w:style w:type="paragraph" w:customStyle="1" w:styleId="659">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0">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1">
    <w:name w:val="Normal_17_0"/>
    <w:qFormat/>
    <w:uiPriority w:val="0"/>
    <w:rPr>
      <w:rFonts w:hint="default" w:ascii="黑体" w:hAnsi="黑体" w:eastAsia="黑体" w:cs="Times New Roman"/>
      <w:b/>
      <w:sz w:val="32"/>
      <w:szCs w:val="24"/>
      <w:lang w:val="en-US" w:eastAsia="zh-CN" w:bidi="ar-SA"/>
    </w:rPr>
  </w:style>
  <w:style w:type="paragraph" w:customStyle="1" w:styleId="662">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3">
    <w:name w:val="Normal_18_0"/>
    <w:qFormat/>
    <w:uiPriority w:val="0"/>
    <w:rPr>
      <w:rFonts w:hint="default" w:ascii="黑体" w:hAnsi="黑体" w:eastAsia="黑体" w:cs="Times New Roman"/>
      <w:b/>
      <w:sz w:val="32"/>
      <w:szCs w:val="24"/>
      <w:lang w:val="en-US" w:eastAsia="zh-CN" w:bidi="ar-SA"/>
    </w:rPr>
  </w:style>
  <w:style w:type="paragraph" w:customStyle="1" w:styleId="664">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5">
    <w:name w:val="Normal_19_0"/>
    <w:basedOn w:val="89"/>
    <w:next w:val="666"/>
    <w:qFormat/>
    <w:uiPriority w:val="0"/>
    <w:rPr>
      <w:rFonts w:ascii="黑体" w:hAnsi="黑体" w:eastAsia="黑体"/>
      <w:b/>
      <w:sz w:val="32"/>
    </w:rPr>
  </w:style>
  <w:style w:type="paragraph" w:customStyle="1" w:styleId="666">
    <w:name w:val="Body Text First Indent_1_0"/>
    <w:basedOn w:val="665"/>
    <w:qFormat/>
    <w:uiPriority w:val="0"/>
    <w:pPr>
      <w:spacing w:after="120"/>
      <w:ind w:firstLine="100"/>
    </w:pPr>
  </w:style>
  <w:style w:type="paragraph" w:customStyle="1" w:styleId="667">
    <w:name w:val="Body Text_0"/>
    <w:basedOn w:val="665"/>
    <w:unhideWhenUsed/>
    <w:qFormat/>
    <w:uiPriority w:val="99"/>
    <w:pPr>
      <w:spacing w:after="120"/>
    </w:pPr>
    <w:rPr>
      <w:rFonts w:ascii="Calibri" w:hAnsi="Calibri"/>
      <w:sz w:val="20"/>
    </w:rPr>
  </w:style>
  <w:style w:type="paragraph" w:customStyle="1" w:styleId="668">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9">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0">
    <w:name w:val="Normal_14_0_0"/>
    <w:qFormat/>
    <w:uiPriority w:val="0"/>
    <w:rPr>
      <w:rFonts w:hint="default" w:ascii="黑体" w:hAnsi="黑体" w:eastAsia="黑体" w:cs="Times New Roman"/>
      <w:b/>
      <w:sz w:val="32"/>
      <w:szCs w:val="24"/>
      <w:lang w:val="en-US" w:eastAsia="zh-CN" w:bidi="ar-SA"/>
    </w:rPr>
  </w:style>
  <w:style w:type="paragraph" w:customStyle="1" w:styleId="671">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2">
    <w:name w:val="Normal_20"/>
    <w:next w:val="673"/>
    <w:qFormat/>
    <w:uiPriority w:val="0"/>
    <w:rPr>
      <w:rFonts w:hint="default" w:ascii="黑体" w:hAnsi="黑体" w:eastAsia="黑体" w:cs="Times New Roman"/>
      <w:b/>
      <w:sz w:val="32"/>
      <w:szCs w:val="24"/>
      <w:lang w:val="en-US" w:eastAsia="zh-CN" w:bidi="ar-SA"/>
    </w:rPr>
  </w:style>
  <w:style w:type="paragraph" w:customStyle="1" w:styleId="673">
    <w:name w:val="正文文本首行缩进 22"/>
    <w:basedOn w:val="674"/>
    <w:qFormat/>
    <w:uiPriority w:val="0"/>
    <w:pPr>
      <w:spacing w:after="120"/>
      <w:ind w:left="200" w:firstLine="200"/>
    </w:pPr>
    <w:rPr>
      <w:rFonts w:ascii="Times New Roman" w:hAnsi="Times New Roman"/>
      <w:sz w:val="24"/>
    </w:rPr>
  </w:style>
  <w:style w:type="paragraph" w:customStyle="1" w:styleId="674">
    <w:name w:val="正文文本缩进2"/>
    <w:basedOn w:val="672"/>
    <w:qFormat/>
    <w:uiPriority w:val="0"/>
    <w:pPr>
      <w:ind w:firstLine="225"/>
    </w:pPr>
    <w:rPr>
      <w:rFonts w:ascii="仿宋_GB2312" w:eastAsia="仿宋_GB2312"/>
    </w:rPr>
  </w:style>
  <w:style w:type="paragraph" w:customStyle="1" w:styleId="675">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7">
    <w:name w:val="Normal_21"/>
    <w:qFormat/>
    <w:uiPriority w:val="0"/>
    <w:rPr>
      <w:rFonts w:hint="default" w:ascii="黑体" w:hAnsi="黑体" w:eastAsia="黑体" w:cs="Times New Roman"/>
      <w:b/>
      <w:sz w:val="32"/>
      <w:szCs w:val="24"/>
      <w:lang w:val="en-US" w:eastAsia="zh-CN" w:bidi="ar-SA"/>
    </w:rPr>
  </w:style>
  <w:style w:type="paragraph" w:customStyle="1" w:styleId="67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9">
    <w:name w:val="Normal_0_2"/>
    <w:qFormat/>
    <w:uiPriority w:val="0"/>
    <w:rPr>
      <w:rFonts w:hint="default" w:ascii="黑体" w:hAnsi="黑体" w:eastAsia="黑体" w:cs="Times New Roman"/>
      <w:b/>
      <w:sz w:val="32"/>
      <w:szCs w:val="24"/>
      <w:lang w:val="en-US" w:eastAsia="zh-CN" w:bidi="ar-SA"/>
    </w:rPr>
  </w:style>
  <w:style w:type="paragraph" w:customStyle="1" w:styleId="68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81">
    <w:name w:val="Normal_0_3"/>
    <w:qFormat/>
    <w:uiPriority w:val="0"/>
    <w:rPr>
      <w:rFonts w:hint="default" w:ascii="黑体" w:hAnsi="黑体" w:eastAsia="黑体" w:cs="Times New Roman"/>
      <w:b/>
      <w:sz w:val="32"/>
      <w:szCs w:val="24"/>
      <w:lang w:val="en-US" w:eastAsia="zh-CN" w:bidi="ar-SA"/>
    </w:rPr>
  </w:style>
  <w:style w:type="paragraph" w:customStyle="1" w:styleId="682">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3">
    <w:name w:val="正文缩进1"/>
    <w:basedOn w:val="1"/>
    <w:qFormat/>
    <w:uiPriority w:val="0"/>
    <w:pPr>
      <w:ind w:firstLine="420"/>
      <w:jc w:val="left"/>
    </w:pPr>
    <w:rPr>
      <w:rFonts w:ascii="宋体"/>
      <w:sz w:val="24"/>
    </w:rPr>
  </w:style>
  <w:style w:type="paragraph" w:customStyle="1" w:styleId="684">
    <w:name w:val="索引 11"/>
    <w:basedOn w:val="1"/>
    <w:next w:val="1"/>
    <w:qFormat/>
    <w:uiPriority w:val="0"/>
    <w:pPr>
      <w:spacing w:line="360" w:lineRule="auto"/>
    </w:pPr>
    <w:rPr>
      <w:rFonts w:ascii="仿宋_GB2312" w:eastAsia="仿宋_GB2312"/>
      <w:sz w:val="24"/>
      <w:szCs w:val="20"/>
    </w:rPr>
  </w:style>
  <w:style w:type="paragraph" w:customStyle="1" w:styleId="685">
    <w:name w:val="纯文本1"/>
    <w:basedOn w:val="616"/>
    <w:qFormat/>
    <w:uiPriority w:val="0"/>
    <w:rPr>
      <w:rFonts w:ascii="宋体" w:hAnsi="Courier New"/>
    </w:rPr>
  </w:style>
  <w:style w:type="paragraph" w:customStyle="1" w:styleId="686">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87">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88">
    <w:name w:val="正文缩进1_0"/>
    <w:basedOn w:val="687"/>
    <w:link w:val="689"/>
    <w:qFormat/>
    <w:uiPriority w:val="0"/>
    <w:pPr>
      <w:ind w:firstLine="420"/>
      <w:jc w:val="left"/>
    </w:pPr>
    <w:rPr>
      <w:rFonts w:ascii="宋体" w:hAnsi="Calibri" w:eastAsia="Times New Roman"/>
      <w:sz w:val="24"/>
      <w:szCs w:val="22"/>
    </w:rPr>
  </w:style>
  <w:style w:type="character" w:customStyle="1" w:styleId="689">
    <w:name w:val="正文缩进 Char1_1"/>
    <w:link w:val="688"/>
    <w:qFormat/>
    <w:uiPriority w:val="0"/>
    <w:rPr>
      <w:rFonts w:ascii="宋体" w:hAnsi="Calibri" w:eastAsia="Times New Roman"/>
      <w:sz w:val="24"/>
      <w:szCs w:val="22"/>
    </w:rPr>
  </w:style>
  <w:style w:type="paragraph" w:customStyle="1" w:styleId="690">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91">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92">
    <w:name w:val="未处理的提及1"/>
    <w:unhideWhenUsed/>
    <w:qFormat/>
    <w:uiPriority w:val="99"/>
    <w:rPr>
      <w:color w:val="605E5C"/>
      <w:shd w:val="clear" w:color="auto" w:fill="E1DFDD"/>
    </w:rPr>
  </w:style>
  <w:style w:type="character" w:customStyle="1" w:styleId="693">
    <w:name w:val="未处理的提及2"/>
    <w:unhideWhenUsed/>
    <w:qFormat/>
    <w:uiPriority w:val="99"/>
    <w:rPr>
      <w:color w:val="605E5C"/>
      <w:shd w:val="clear" w:color="auto" w:fill="E1DFDD"/>
    </w:rPr>
  </w:style>
  <w:style w:type="paragraph" w:customStyle="1" w:styleId="694">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96">
    <w:name w:val="10"/>
    <w:qFormat/>
    <w:uiPriority w:val="0"/>
    <w:rPr>
      <w:rFonts w:ascii="Times New Roman" w:hAnsi="Times New Roman" w:cs="Times New Roman"/>
    </w:rPr>
  </w:style>
  <w:style w:type="paragraph" w:customStyle="1" w:styleId="697">
    <w:name w:val="正文文本2"/>
    <w:basedOn w:val="91"/>
    <w:qFormat/>
    <w:uiPriority w:val="0"/>
    <w:rPr>
      <w:rFonts w:ascii="Segoe UI" w:hAnsi="Segoe UI" w:cs="Segoe UI"/>
    </w:rPr>
  </w:style>
  <w:style w:type="paragraph" w:customStyle="1" w:styleId="698">
    <w:name w:val="正文_16_0"/>
    <w:basedOn w:val="614"/>
    <w:qFormat/>
    <w:uiPriority w:val="0"/>
  </w:style>
  <w:style w:type="paragraph" w:customStyle="1" w:styleId="699">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00">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01">
    <w:name w:val="Normal_19_0_1"/>
    <w:qFormat/>
    <w:uiPriority w:val="0"/>
    <w:rPr>
      <w:rFonts w:hint="default" w:ascii="Tahoma" w:hAnsi="Tahoma" w:eastAsia="微软雅黑" w:cs="Times New Roman"/>
      <w:lang w:val="en-US" w:eastAsia="zh-CN" w:bidi="ar-SA"/>
    </w:rPr>
  </w:style>
  <w:style w:type="paragraph" w:customStyle="1" w:styleId="702">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03">
    <w:name w:val="正文_16_0_0_0"/>
    <w:basedOn w:val="704"/>
    <w:qFormat/>
    <w:uiPriority w:val="0"/>
    <w:rPr>
      <w:rFonts w:ascii="Calibri" w:hAnsi="Calibri" w:cs="Calibri"/>
      <w:szCs w:val="21"/>
    </w:rPr>
  </w:style>
  <w:style w:type="paragraph" w:customStyle="1" w:styleId="704">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705">
    <w:name w:val="15"/>
    <w:qFormat/>
    <w:uiPriority w:val="0"/>
    <w:rPr>
      <w:rFonts w:ascii="Times New Roman" w:hAnsi="Times New Roman" w:cs="Times New Roman"/>
      <w:color w:val="0000FF"/>
      <w:u w:val="single"/>
    </w:rPr>
  </w:style>
  <w:style w:type="character" w:customStyle="1" w:styleId="706">
    <w:name w:val="16_0"/>
    <w:qFormat/>
    <w:uiPriority w:val="0"/>
    <w:rPr>
      <w:rFonts w:ascii="Times New Roman" w:hAnsi="Times New Roman" w:cs="Times New Roman"/>
    </w:rPr>
  </w:style>
  <w:style w:type="paragraph" w:customStyle="1" w:styleId="707">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8">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709">
    <w:name w:val="未处理的提及3"/>
    <w:unhideWhenUsed/>
    <w:qFormat/>
    <w:uiPriority w:val="99"/>
    <w:rPr>
      <w:color w:val="605E5C"/>
      <w:shd w:val="clear" w:color="auto" w:fill="E1DFDD"/>
    </w:rPr>
  </w:style>
  <w:style w:type="character" w:customStyle="1" w:styleId="710">
    <w:name w:val="正文文本首行缩进 2 字符1"/>
    <w:semiHidden/>
    <w:qFormat/>
    <w:uiPriority w:val="99"/>
    <w:rPr>
      <w:rFonts w:ascii="Calibri" w:hAnsi="Calibri"/>
      <w:sz w:val="21"/>
      <w:szCs w:val="22"/>
    </w:rPr>
  </w:style>
  <w:style w:type="paragraph" w:customStyle="1" w:styleId="711">
    <w:name w:val="Normal_20_0"/>
    <w:qFormat/>
    <w:uiPriority w:val="0"/>
    <w:pPr>
      <w:widowControl w:val="0"/>
      <w:jc w:val="both"/>
    </w:pPr>
    <w:rPr>
      <w:rFonts w:hint="default" w:ascii="Calibri" w:hAnsi="Calibri" w:eastAsia="宋体" w:cs="Times New Roman"/>
      <w:lang w:val="en-US" w:eastAsia="zh-CN" w:bidi="ar-SA"/>
    </w:rPr>
  </w:style>
  <w:style w:type="paragraph" w:customStyle="1" w:styleId="712">
    <w:name w:val="正文_12_0_0_0_0"/>
    <w:basedOn w:val="1"/>
    <w:qFormat/>
    <w:uiPriority w:val="0"/>
    <w:rPr>
      <w:rFonts w:ascii="Times New Roman" w:hAnsi="Times New Roman"/>
      <w:szCs w:val="24"/>
    </w:rPr>
  </w:style>
  <w:style w:type="paragraph" w:customStyle="1" w:styleId="71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14">
    <w:name w:val="custom-tag-placeholder-class"/>
    <w:qFormat/>
    <w:uiPriority w:val="0"/>
  </w:style>
  <w:style w:type="paragraph" w:customStyle="1" w:styleId="715">
    <w:name w:val="正文缩进_1_0_0"/>
    <w:basedOn w:val="716"/>
    <w:qFormat/>
    <w:uiPriority w:val="0"/>
    <w:pPr>
      <w:ind w:firstLine="420"/>
    </w:pPr>
    <w:rPr>
      <w:rFonts w:ascii="宋体"/>
      <w:color w:val="000000"/>
      <w:sz w:val="24"/>
      <w:szCs w:val="20"/>
    </w:rPr>
  </w:style>
  <w:style w:type="paragraph" w:customStyle="1" w:styleId="716">
    <w:name w:val="正文_2_0_1"/>
    <w:next w:val="7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17">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718">
    <w:name w:val="正文_16_0_0"/>
    <w:next w:val="687"/>
    <w:qFormat/>
    <w:uiPriority w:val="0"/>
    <w:pPr>
      <w:widowControl w:val="0"/>
      <w:jc w:val="both"/>
    </w:pPr>
    <w:rPr>
      <w:rFonts w:hint="default" w:ascii="Calibri" w:hAnsi="Calibri" w:eastAsia="宋体" w:cs="Times New Roman"/>
      <w:sz w:val="21"/>
      <w:szCs w:val="22"/>
      <w:lang w:val="en-US" w:eastAsia="zh-CN" w:bidi="ar-SA"/>
    </w:rPr>
  </w:style>
  <w:style w:type="character" w:customStyle="1" w:styleId="719">
    <w:name w:val="批注框文本 Char"/>
    <w:basedOn w:val="39"/>
    <w:link w:val="23"/>
    <w:semiHidden/>
    <w:qFormat/>
    <w:uiPriority w:val="99"/>
    <w:rPr>
      <w:rFonts w:ascii="宋体" w:hAnsi="Calibri"/>
      <w:sz w:val="18"/>
      <w:szCs w:val="18"/>
    </w:rPr>
  </w:style>
  <w:style w:type="character" w:customStyle="1" w:styleId="720">
    <w:name w:val="标题 1 字符2"/>
    <w:link w:val="86"/>
    <w:qFormat/>
    <w:uiPriority w:val="9"/>
    <w:rPr>
      <w:rFonts w:ascii="Arial" w:hAnsi="Arial" w:eastAsia="Arial" w:cs="Arial"/>
      <w:sz w:val="40"/>
      <w:szCs w:val="40"/>
    </w:rPr>
  </w:style>
  <w:style w:type="paragraph" w:customStyle="1" w:styleId="721">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22">
    <w:name w:val="Body Text_0_0"/>
    <w:basedOn w:val="721"/>
    <w:unhideWhenUsed/>
    <w:qFormat/>
    <w:uiPriority w:val="99"/>
    <w:pPr>
      <w:spacing w:after="120"/>
    </w:pPr>
    <w:rPr>
      <w:sz w:val="20"/>
    </w:rPr>
  </w:style>
  <w:style w:type="paragraph" w:customStyle="1" w:styleId="723">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24">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25">
    <w:name w:val="正文3"/>
    <w:next w:val="11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2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27">
    <w:name w:val="p17_0_0"/>
    <w:basedOn w:val="665"/>
    <w:qFormat/>
    <w:uiPriority w:val="0"/>
    <w:pPr>
      <w:spacing w:before="100" w:beforeAutospacing="1" w:after="100" w:afterAutospacing="1"/>
    </w:pPr>
    <w:rPr>
      <w:rFonts w:ascii="宋体" w:hAnsi="宋体" w:eastAsia="Times New Roman" w:cs="宋体"/>
      <w:sz w:val="24"/>
    </w:rPr>
  </w:style>
  <w:style w:type="character" w:customStyle="1" w:styleId="728">
    <w:name w:val="列出段落 Char"/>
    <w:link w:val="496"/>
    <w:qFormat/>
    <w:uiPriority w:val="0"/>
    <w:rPr>
      <w:rFonts w:ascii="Calibri" w:hAnsi="Calibri"/>
      <w:sz w:val="21"/>
      <w:szCs w:val="22"/>
    </w:rPr>
  </w:style>
  <w:style w:type="paragraph" w:customStyle="1" w:styleId="729">
    <w:name w:val="Normal_0_1_0_0_0_0"/>
    <w:qFormat/>
    <w:uiPriority w:val="0"/>
    <w:pPr>
      <w:widowControl w:val="0"/>
      <w:jc w:val="both"/>
    </w:pPr>
    <w:rPr>
      <w:rFonts w:hint="default" w:ascii="Calibri" w:hAnsi="Calibri" w:eastAsia="宋体" w:cs="Times New Roman"/>
      <w:lang w:val="en-US" w:eastAsia="zh-CN" w:bidi="ar-SA"/>
    </w:rPr>
  </w:style>
  <w:style w:type="paragraph" w:customStyle="1" w:styleId="730">
    <w:name w:val="正文1_0_0"/>
    <w:qFormat/>
    <w:uiPriority w:val="0"/>
    <w:pPr>
      <w:widowControl w:val="0"/>
      <w:jc w:val="both"/>
    </w:pPr>
    <w:rPr>
      <w:rFonts w:hint="default" w:ascii="Times New Roman" w:hAnsi="Times New Roman" w:eastAsia="宋体" w:cs="Times New Roman"/>
      <w:lang w:val="en-US" w:eastAsia="zh-CN" w:bidi="ar-SA"/>
    </w:rPr>
  </w:style>
  <w:style w:type="paragraph" w:customStyle="1" w:styleId="731">
    <w:name w:val="Normal_0_1_0_0_0"/>
    <w:qFormat/>
    <w:uiPriority w:val="0"/>
    <w:pPr>
      <w:widowControl w:val="0"/>
      <w:jc w:val="both"/>
    </w:pPr>
    <w:rPr>
      <w:rFonts w:hint="default" w:ascii="Calibri" w:hAnsi="Calibri" w:eastAsia="宋体" w:cs="Times New Roman"/>
      <w:lang w:val="en-US" w:eastAsia="zh-CN" w:bidi="ar-SA"/>
    </w:rPr>
  </w:style>
  <w:style w:type="paragraph" w:customStyle="1" w:styleId="732">
    <w:name w:val="List Paragraph_0_0"/>
    <w:basedOn w:val="733"/>
    <w:qFormat/>
    <w:uiPriority w:val="34"/>
    <w:pPr>
      <w:ind w:firstLine="420"/>
    </w:pPr>
    <w:rPr>
      <w:rFonts w:eastAsia="Times New Roman"/>
    </w:rPr>
  </w:style>
  <w:style w:type="paragraph" w:customStyle="1" w:styleId="733">
    <w:name w:val="正文1_1"/>
    <w:qFormat/>
    <w:uiPriority w:val="0"/>
    <w:pPr>
      <w:widowControl w:val="0"/>
      <w:jc w:val="both"/>
    </w:pPr>
    <w:rPr>
      <w:rFonts w:hint="default" w:ascii="Calibri" w:hAnsi="Calibri" w:eastAsia="宋体" w:cs="Times New Roman"/>
      <w:lang w:val="en-US" w:eastAsia="zh-CN" w:bidi="ar-SA"/>
    </w:rPr>
  </w:style>
  <w:style w:type="table" w:customStyle="1" w:styleId="734">
    <w:name w:val="Table Normal"/>
    <w:semiHidden/>
    <w:unhideWhenUsed/>
    <w:qFormat/>
    <w:uiPriority w:val="0"/>
    <w:tblPr>
      <w:tblCellMar>
        <w:top w:w="0" w:type="dxa"/>
        <w:left w:w="0" w:type="dxa"/>
        <w:bottom w:w="0" w:type="dxa"/>
        <w:right w:w="0" w:type="dxa"/>
      </w:tblCellMar>
    </w:tblPr>
  </w:style>
  <w:style w:type="paragraph" w:customStyle="1" w:styleId="735">
    <w:name w:val="正文_6_0_0"/>
    <w:qFormat/>
    <w:uiPriority w:val="0"/>
    <w:pPr>
      <w:widowControl w:val="0"/>
      <w:jc w:val="both"/>
    </w:pPr>
    <w:rPr>
      <w:rFonts w:hint="default" w:ascii="Calibri" w:hAnsi="Calibri" w:eastAsia="宋体" w:cs="Times New Roman"/>
      <w:lang w:val="en-US" w:eastAsia="zh-CN" w:bidi="ar-SA"/>
    </w:rPr>
  </w:style>
  <w:style w:type="paragraph" w:customStyle="1" w:styleId="736">
    <w:name w:val="正文_7_1"/>
    <w:qFormat/>
    <w:uiPriority w:val="0"/>
    <w:pPr>
      <w:widowControl w:val="0"/>
      <w:jc w:val="both"/>
    </w:pPr>
    <w:rPr>
      <w:rFonts w:hint="default" w:ascii="Calibri" w:hAnsi="Calibri" w:eastAsia="宋体" w:cs="Times New Roman"/>
      <w:lang w:val="en-US" w:eastAsia="zh-CN" w:bidi="ar-SA"/>
    </w:rPr>
  </w:style>
  <w:style w:type="paragraph" w:customStyle="1" w:styleId="737">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738">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739">
    <w:name w:val="Normal_17_0_0"/>
    <w:qFormat/>
    <w:uiPriority w:val="0"/>
    <w:rPr>
      <w:rFonts w:hint="default" w:ascii="黑体" w:hAnsi="黑体" w:eastAsia="黑体" w:cs="Times New Roman"/>
      <w:b/>
      <w:sz w:val="32"/>
      <w:szCs w:val="24"/>
      <w:lang w:val="en-US" w:eastAsia="zh-CN" w:bidi="ar-SA"/>
    </w:rPr>
  </w:style>
  <w:style w:type="paragraph" w:customStyle="1" w:styleId="740">
    <w:name w:val="普通(网站)11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741">
    <w:name w:val="页眉 Char"/>
    <w:basedOn w:val="39"/>
    <w:link w:val="25"/>
    <w:semiHidden/>
    <w:qFormat/>
    <w:uiPriority w:val="99"/>
    <w:rPr>
      <w:rFonts w:ascii="Calibri" w:hAnsi="Calibri"/>
      <w:sz w:val="18"/>
      <w:szCs w:val="18"/>
    </w:rPr>
  </w:style>
  <w:style w:type="character" w:customStyle="1" w:styleId="742">
    <w:name w:val="页脚 Char"/>
    <w:basedOn w:val="39"/>
    <w:link w:val="24"/>
    <w:semiHidden/>
    <w:qFormat/>
    <w:uiPriority w:val="99"/>
    <w:rPr>
      <w:rFonts w:ascii="Calibri" w:hAnsi="Calibri"/>
      <w:sz w:val="18"/>
      <w:szCs w:val="18"/>
    </w:rPr>
  </w:style>
  <w:style w:type="character" w:customStyle="1" w:styleId="743">
    <w:name w:val="16"/>
    <w:qFormat/>
    <w:uiPriority w:val="0"/>
    <w:rPr>
      <w:rFonts w:hint="default" w:ascii="Calibri" w:hAnsi="Calibri" w:eastAsia="宋体" w:cs="Times New Roman"/>
      <w:sz w:val="21"/>
      <w:szCs w:val="22"/>
      <w:lang w:val="en-US" w:eastAsia="zh-CN" w:bidi="ar-SA"/>
    </w:rPr>
  </w:style>
  <w:style w:type="paragraph" w:customStyle="1" w:styleId="744">
    <w:name w:val="标题 312"/>
    <w:basedOn w:val="89"/>
    <w:next w:val="91"/>
    <w:qFormat/>
    <w:uiPriority w:val="0"/>
    <w:pPr>
      <w:keepNext/>
      <w:keepLines/>
      <w:widowControl w:val="0"/>
      <w:spacing w:before="320" w:after="200"/>
      <w:jc w:val="both"/>
      <w:outlineLvl w:val="2"/>
    </w:pPr>
    <w:rPr>
      <w:rFonts w:ascii="Arial" w:hAnsi="Arial" w:eastAsia="Arial" w:cs="Arial"/>
      <w:sz w:val="30"/>
      <w:szCs w:val="30"/>
    </w:rPr>
  </w:style>
  <w:style w:type="paragraph" w:customStyle="1" w:styleId="745">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46">
    <w:name w:val="List Paragraph_0"/>
    <w:basedOn w:val="622"/>
    <w:qFormat/>
    <w:uiPriority w:val="0"/>
    <w:pPr>
      <w:ind w:firstLine="420"/>
    </w:pPr>
  </w:style>
  <w:style w:type="paragraph" w:customStyle="1" w:styleId="747">
    <w:name w:val="正文文本4"/>
    <w:basedOn w:val="677"/>
    <w:qFormat/>
    <w:uiPriority w:val="0"/>
    <w:pPr>
      <w:widowControl w:val="0"/>
      <w:spacing w:line="60" w:lineRule="auto"/>
      <w:jc w:val="both"/>
    </w:pPr>
    <w:rPr>
      <w:rFonts w:ascii="仿宋_GB2312" w:hAnsi="Times New Roman" w:eastAsia="仿宋_GB2312"/>
      <w:b w:val="0"/>
      <w:szCs w:val="22"/>
    </w:rPr>
  </w:style>
  <w:style w:type="paragraph" w:customStyle="1" w:styleId="748">
    <w:name w:val="正文文本11"/>
    <w:qFormat/>
    <w:uiPriority w:val="0"/>
    <w:pPr>
      <w:widowControl w:val="0"/>
      <w:jc w:val="both"/>
    </w:pPr>
    <w:rPr>
      <w:rFonts w:hint="default" w:ascii="仿宋" w:hAnsi="仿宋" w:eastAsia="仿宋" w:cs="仿宋"/>
      <w:sz w:val="32"/>
      <w:szCs w:val="3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67</Pages>
  <Words>17465</Words>
  <Characters>18253</Characters>
  <TotalTime>42</TotalTime>
  <ScaleCrop>false</ScaleCrop>
  <LinksUpToDate>false</LinksUpToDate>
  <CharactersWithSpaces>18335</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2025-08-16T01:46:00Z</dcterms:created>
  <dc:creator>Administrator</dc:creator>
  <cp:lastModifiedBy>ps</cp:lastModifiedBy>
  <dcterms:modified xsi:type="dcterms:W3CDTF">2026-05-12T03:15:46Z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BF3BBC0801A143CCB0403F46D7BB4EFA_13</vt:lpwstr>
  </property>
  <property fmtid="{D5CDD505-2E9C-101B-9397-08002B2CF9AE}" pid="4" name="KSOTemplateDocerSaveRecord">
    <vt:lpwstr>eyJoZGlkIjoiNTgyZWE5NjlhY2JhYTYzNThiOGEyOWEzNTI5ZWY3N2MiLCJ1c2VySWQiOiIyNzA1NTgyNDQifQ==</vt:lpwstr>
  </property>
</Properties>
</file>